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86" w:rsidRDefault="00A76686" w:rsidP="002F4EB6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jc w:val="center"/>
        <w:rPr>
          <w:rFonts w:ascii="仿宋_GB2312" w:eastAsia="仿宋_GB2312" w:hAnsi="仿宋_GB2312" w:cs="仿宋_GB2312" w:hint="eastAsia"/>
          <w:b/>
          <w:bCs/>
          <w:color w:val="auto"/>
          <w:kern w:val="0"/>
          <w:sz w:val="28"/>
          <w:szCs w:val="28"/>
          <w:lang w:val="zh-TW"/>
        </w:rPr>
      </w:pPr>
    </w:p>
    <w:p w:rsidR="0042494F" w:rsidRDefault="0042494F" w:rsidP="002F4EB6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jc w:val="center"/>
        <w:rPr>
          <w:rFonts w:ascii="仿宋_GB2312" w:eastAsia="仿宋_GB2312" w:hAnsi="仿宋_GB2312" w:cs="仿宋_GB2312"/>
          <w:b/>
          <w:bCs/>
          <w:color w:val="auto"/>
          <w:kern w:val="0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kern w:val="0"/>
          <w:sz w:val="28"/>
          <w:szCs w:val="28"/>
          <w:lang w:val="zh-TW"/>
        </w:rPr>
        <w:t>关于做好</w:t>
      </w:r>
      <w:r w:rsidR="00261FDF">
        <w:rPr>
          <w:rFonts w:ascii="仿宋_GB2312" w:eastAsia="仿宋_GB2312" w:hAnsi="仿宋_GB2312" w:cs="仿宋_GB2312" w:hint="eastAsia"/>
          <w:b/>
          <w:bCs/>
          <w:color w:val="auto"/>
          <w:kern w:val="0"/>
          <w:sz w:val="28"/>
          <w:szCs w:val="28"/>
          <w:lang w:val="zh-TW"/>
        </w:rPr>
        <w:t>2016</w:t>
      </w:r>
      <w:r w:rsidR="00C24A72">
        <w:rPr>
          <w:rFonts w:ascii="仿宋_GB2312" w:eastAsia="仿宋_GB2312" w:hAnsi="仿宋_GB2312" w:cs="仿宋_GB2312" w:hint="eastAsia"/>
          <w:b/>
          <w:bCs/>
          <w:color w:val="auto"/>
          <w:kern w:val="0"/>
          <w:sz w:val="28"/>
          <w:szCs w:val="28"/>
          <w:lang w:val="zh-TW"/>
        </w:rPr>
        <w:t>年度研究生导师</w:t>
      </w:r>
      <w:r>
        <w:rPr>
          <w:rFonts w:ascii="仿宋_GB2312" w:eastAsia="仿宋_GB2312" w:hAnsi="仿宋_GB2312" w:cs="仿宋_GB2312" w:hint="eastAsia"/>
          <w:b/>
          <w:bCs/>
          <w:color w:val="auto"/>
          <w:kern w:val="0"/>
          <w:sz w:val="28"/>
          <w:szCs w:val="28"/>
          <w:lang w:val="zh-TW"/>
        </w:rPr>
        <w:t>资格审核工作的通知</w:t>
      </w:r>
    </w:p>
    <w:p w:rsidR="00840CC3" w:rsidRPr="00906048" w:rsidRDefault="00840CC3" w:rsidP="002F4EB6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jc w:val="center"/>
        <w:rPr>
          <w:rFonts w:ascii="仿宋_GB2312" w:eastAsia="仿宋_GB2312" w:hAnsi="仿宋_GB2312" w:cs="仿宋_GB2312"/>
          <w:b/>
          <w:bCs/>
          <w:color w:val="auto"/>
          <w:kern w:val="0"/>
          <w:sz w:val="28"/>
          <w:szCs w:val="28"/>
          <w:lang w:val="zh-TW" w:eastAsia="zh-TW"/>
        </w:rPr>
      </w:pPr>
    </w:p>
    <w:p w:rsidR="0042494F" w:rsidRPr="00BA03B0" w:rsidRDefault="00BA03B0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rPr>
          <w:rFonts w:ascii="仿宋_GB2312" w:eastAsia="仿宋_GB2312" w:hAnsi="仿宋_GB2312" w:cs="Times New Roman"/>
          <w:bCs/>
          <w:color w:val="auto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各院</w:t>
      </w:r>
      <w:r w:rsidR="00A76686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、系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：</w:t>
      </w:r>
    </w:p>
    <w:p w:rsidR="0042494F" w:rsidRDefault="0051406B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 w:rsidRPr="0051406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根据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《</w:t>
      </w:r>
      <w:r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西安交通大学研究生指导教师岗位管理办法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》（</w:t>
      </w:r>
      <w:r w:rsidRPr="0051406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西交研</w:t>
      </w:r>
      <w:r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〔2014〕</w:t>
      </w:r>
      <w:bookmarkStart w:id="0" w:name="fwh"/>
      <w:r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97</w:t>
      </w:r>
      <w:bookmarkEnd w:id="0"/>
      <w:r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号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）</w:t>
      </w:r>
      <w:r w:rsidR="009E470D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文件</w:t>
      </w:r>
      <w:r w:rsidR="00CB787F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（见附件1）</w:t>
      </w:r>
      <w:r w:rsidR="009E470D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的有关精神，现将</w:t>
      </w:r>
      <w:r w:rsidR="00261FDF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2016</w:t>
      </w:r>
      <w:r w:rsidR="00087AC1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年度研究生导师</w:t>
      </w:r>
      <w:r w:rsidR="00894FB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资格</w:t>
      </w:r>
      <w:r w:rsidR="003871A7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审核工作的有关事项通知如下。</w:t>
      </w:r>
    </w:p>
    <w:p w:rsidR="00894FBB" w:rsidRPr="00CA08E6" w:rsidRDefault="00894FBB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/>
          <w:bCs/>
          <w:color w:val="auto"/>
          <w:sz w:val="28"/>
          <w:szCs w:val="28"/>
          <w:lang w:val="zh-TW"/>
        </w:rPr>
      </w:pPr>
      <w:r w:rsidRPr="00CA08E6"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一</w:t>
      </w:r>
      <w:r w:rsidR="00FC5EB1"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．</w:t>
      </w:r>
      <w:r w:rsidR="00CA08E6" w:rsidRPr="00CA08E6"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审核原则</w:t>
      </w:r>
    </w:p>
    <w:p w:rsidR="00D16215" w:rsidRDefault="007D1116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自2015年起，</w:t>
      </w:r>
      <w:r w:rsidR="00C24A72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研究生导师</w:t>
      </w:r>
      <w:r w:rsidR="00064D0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资格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实行动态审核制，即各学院（部、中心）</w:t>
      </w:r>
      <w:r w:rsidR="00261FDF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每年</w:t>
      </w:r>
      <w:r w:rsidR="0000475C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在修订招生目录前，</w:t>
      </w:r>
      <w:r w:rsidR="0000475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对</w:t>
      </w:r>
      <w:r w:rsidR="0000475C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研究生</w:t>
      </w:r>
      <w:r w:rsidR="0000475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导师</w:t>
      </w:r>
      <w:r w:rsidR="0000475C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资格</w:t>
      </w:r>
      <w:r w:rsidR="0000475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进行审核确认，</w:t>
      </w:r>
      <w:r w:rsidR="0000475C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并</w:t>
      </w:r>
      <w:r w:rsidR="0000475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将确认后的导师名单</w:t>
      </w:r>
      <w:r w:rsidR="00261FDF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在</w:t>
      </w:r>
      <w:r w:rsidR="00840CC3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院内公示一周后，</w:t>
      </w:r>
      <w:r w:rsidR="0000475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报研究生院</w:t>
      </w:r>
      <w:r w:rsidR="0000475C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复核、</w:t>
      </w:r>
      <w:r w:rsidR="00C911B3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备案</w:t>
      </w:r>
      <w:r w:rsidR="00C911B3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；</w:t>
      </w:r>
      <w:r w:rsidR="00C911B3" w:rsidRPr="005669C0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研究生院将不再单独进行新任博导的遴选工作。</w:t>
      </w:r>
    </w:p>
    <w:p w:rsidR="001510FB" w:rsidRDefault="001510FB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二．审核条件</w:t>
      </w:r>
    </w:p>
    <w:p w:rsidR="00AB530B" w:rsidRDefault="00AB530B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40"/>
        <w:rPr>
          <w:rFonts w:ascii="仿宋_GB2312" w:eastAsia="仿宋_GB2312" w:hAnsi="仿宋_GB2312" w:cs="仿宋_GB2312"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（一）校内</w:t>
      </w:r>
    </w:p>
    <w:p w:rsidR="001510FB" w:rsidRPr="000A5652" w:rsidRDefault="003871A7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40"/>
        <w:rPr>
          <w:rFonts w:ascii="仿宋_GB2312" w:eastAsia="仿宋_GB2312" w:hAnsi="仿宋_GB2312" w:cs="Times New Roman"/>
          <w:color w:val="auto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研究生指导教师应满足</w:t>
      </w:r>
      <w:r w:rsidR="00E24B70" w:rsidRPr="0051406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西交研</w:t>
      </w:r>
      <w:r w:rsidR="00E24B70"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〔2014〕97号</w:t>
      </w:r>
      <w:r w:rsidR="00CF10C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文件的有关要求。符合以下基本条件的人员方可申请导师资格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：</w:t>
      </w:r>
    </w:p>
    <w:p w:rsidR="001510FB" w:rsidRPr="000A5652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100" w:left="210" w:firstLine="538"/>
        <w:rPr>
          <w:rFonts w:ascii="仿宋_GB2312" w:eastAsia="仿宋_GB2312" w:hAnsi="仿宋_GB2312" w:cs="Times New Roman"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1、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热爱教育事业，治学严谨，作风正派，具有高尚的学术道德和良好的学风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。</w:t>
      </w:r>
    </w:p>
    <w:p w:rsidR="001510FB" w:rsidRPr="000A5652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100" w:left="210" w:firstLine="538"/>
        <w:rPr>
          <w:rFonts w:ascii="仿宋_GB2312" w:eastAsia="仿宋_GB2312" w:hAnsi="仿宋_GB2312" w:cs="Times New Roman"/>
          <w:color w:val="auto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2、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本校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在编在岗教师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（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包括与学校有三年</w:t>
      </w:r>
      <w:r w:rsidR="00750654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及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以上聘用合同的教师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，两院院士可为外单位人员）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，具有较高的学术水平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，指导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博士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生的导师应具有博士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学位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。</w:t>
      </w:r>
    </w:p>
    <w:p w:rsidR="001510FB" w:rsidRPr="000A5652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100" w:left="210" w:firstLine="538"/>
        <w:rPr>
          <w:rFonts w:ascii="仿宋_GB2312" w:eastAsia="仿宋_GB2312" w:hAnsi="仿宋_GB2312" w:cs="Times New Roman"/>
          <w:color w:val="auto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>3、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身体健康，能够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胜任</w:t>
      </w:r>
      <w:r w:rsidR="001510FB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指导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研究生从事科研的繁重任务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。</w:t>
      </w:r>
    </w:p>
    <w:p w:rsidR="001510FB" w:rsidRPr="000A5652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540"/>
        </w:tabs>
        <w:spacing w:after="120" w:line="400" w:lineRule="exact"/>
        <w:ind w:leftChars="100" w:left="210" w:firstLine="538"/>
        <w:rPr>
          <w:rFonts w:ascii="仿宋_GB2312" w:eastAsia="仿宋_GB2312" w:hAnsi="仿宋_GB2312" w:cs="Times New Roman"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>4、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有较好的科研条件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和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充足经费，能够</w:t>
      </w:r>
      <w:r w:rsidR="001510FB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给研究生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提供助研</w:t>
      </w:r>
      <w:r w:rsidR="001510FB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岗位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津贴</w:t>
      </w:r>
      <w:r w:rsidR="001510FB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等应由导师负担的各种费用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，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能够保障研究生</w:t>
      </w:r>
      <w:r w:rsidR="001510FB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正常</w:t>
      </w:r>
      <w:r w:rsidR="001510FB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开展科研工作</w:t>
      </w:r>
      <w:r w:rsidR="002B68F7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。</w:t>
      </w:r>
    </w:p>
    <w:p w:rsidR="001510FB" w:rsidRPr="00D34BA1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100" w:left="210" w:firstLine="551"/>
        <w:rPr>
          <w:rFonts w:ascii="仿宋_GB2312" w:eastAsia="仿宋_GB2312" w:hAnsi="仿宋_GB2312" w:cs="仿宋_GB2312"/>
          <w:color w:val="000000" w:themeColor="text1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5</w:t>
      </w:r>
      <w:r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/>
        </w:rPr>
        <w:t>、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 w:eastAsia="zh-TW"/>
        </w:rPr>
        <w:t>招生时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/>
        </w:rPr>
        <w:t>，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 w:eastAsia="zh-TW"/>
        </w:rPr>
        <w:t>离学校规定的退休年龄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/>
        </w:rPr>
        <w:t>一般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 w:eastAsia="zh-TW"/>
        </w:rPr>
        <w:t>不少于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/>
        </w:rPr>
        <w:t>三</w:t>
      </w:r>
      <w:r w:rsidR="001510FB" w:rsidRPr="00D34BA1">
        <w:rPr>
          <w:rFonts w:ascii="仿宋_GB2312" w:eastAsia="仿宋_GB2312" w:hAnsi="仿宋_GB2312" w:cs="仿宋_GB2312" w:hint="eastAsia"/>
          <w:color w:val="000000" w:themeColor="text1"/>
          <w:sz w:val="28"/>
          <w:szCs w:val="28"/>
          <w:lang w:val="zh-TW" w:eastAsia="zh-TW"/>
        </w:rPr>
        <w:t>年。</w:t>
      </w:r>
    </w:p>
    <w:p w:rsidR="00AB530B" w:rsidRPr="00D34BA1" w:rsidRDefault="00AB530B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" w:eastAsia="仿宋" w:hAnsi="仿宋"/>
          <w:color w:val="000000" w:themeColor="text1"/>
          <w:sz w:val="28"/>
          <w:szCs w:val="28"/>
        </w:rPr>
      </w:pPr>
      <w:r w:rsidRPr="00D34BA1">
        <w:rPr>
          <w:rFonts w:ascii="仿宋" w:eastAsia="仿宋" w:hAnsi="仿宋" w:hint="eastAsia"/>
          <w:color w:val="000000" w:themeColor="text1"/>
          <w:sz w:val="28"/>
          <w:szCs w:val="28"/>
        </w:rPr>
        <w:t>（二）海外合作博导</w:t>
      </w:r>
    </w:p>
    <w:p w:rsidR="00CF10CA" w:rsidRPr="00D34BA1" w:rsidRDefault="00CF10CA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" w:eastAsia="仿宋" w:hAnsi="仿宋" w:cs="仿宋_GB2312"/>
          <w:color w:val="000000" w:themeColor="text1"/>
          <w:sz w:val="28"/>
          <w:szCs w:val="28"/>
          <w:lang w:val="zh-TW"/>
        </w:rPr>
      </w:pPr>
      <w:r w:rsidRPr="00D34BA1">
        <w:rPr>
          <w:rFonts w:ascii="仿宋" w:eastAsia="仿宋" w:hAnsi="仿宋" w:hint="eastAsia"/>
          <w:color w:val="000000" w:themeColor="text1"/>
          <w:sz w:val="28"/>
          <w:szCs w:val="28"/>
        </w:rPr>
        <w:t>为推动我校研究生培养的国际化进程，</w:t>
      </w:r>
      <w:r w:rsidR="00A475E3" w:rsidRPr="00D34BA1">
        <w:rPr>
          <w:rFonts w:ascii="仿宋" w:eastAsia="仿宋" w:hAnsi="仿宋" w:hint="eastAsia"/>
          <w:color w:val="000000" w:themeColor="text1"/>
          <w:sz w:val="28"/>
          <w:szCs w:val="28"/>
        </w:rPr>
        <w:t>借助国际优势资源，提升我校</w:t>
      </w:r>
      <w:r w:rsidRPr="00D34BA1">
        <w:rPr>
          <w:rFonts w:ascii="仿宋" w:eastAsia="仿宋" w:hAnsi="仿宋" w:hint="eastAsia"/>
          <w:color w:val="000000" w:themeColor="text1"/>
          <w:sz w:val="28"/>
          <w:szCs w:val="28"/>
        </w:rPr>
        <w:t>国际化程度</w:t>
      </w:r>
      <w:r w:rsidR="00A475E3" w:rsidRPr="00D34BA1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r w:rsidR="004F7B42">
        <w:rPr>
          <w:rFonts w:ascii="仿宋" w:eastAsia="仿宋" w:hAnsi="仿宋" w:hint="eastAsia"/>
          <w:color w:val="000000" w:themeColor="text1"/>
          <w:sz w:val="28"/>
          <w:szCs w:val="28"/>
        </w:rPr>
        <w:t>我校</w:t>
      </w:r>
      <w:r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鼓励海外高水平大学</w:t>
      </w:r>
      <w:r w:rsidR="00A475E3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教授</w:t>
      </w:r>
      <w:r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作为我校合作博士导师</w:t>
      </w:r>
      <w:r w:rsidR="00A475E3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联合培养博士研究生。</w:t>
      </w:r>
      <w:r w:rsidR="0030455A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资格审定条件及相关权益如下：</w:t>
      </w:r>
    </w:p>
    <w:p w:rsidR="00A475E3" w:rsidRPr="00D34BA1" w:rsidRDefault="00AB530B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" w:eastAsia="仿宋" w:hAnsi="仿宋" w:cs="仿宋_GB2312"/>
          <w:color w:val="000000" w:themeColor="text1"/>
          <w:sz w:val="28"/>
          <w:szCs w:val="28"/>
          <w:lang w:val="zh-TW"/>
        </w:rPr>
      </w:pPr>
      <w:r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lastRenderedPageBreak/>
        <w:t>1、</w:t>
      </w:r>
      <w:r w:rsidR="00A475E3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审定条件：</w:t>
      </w:r>
    </w:p>
    <w:p w:rsidR="00A475E3" w:rsidRPr="00D34BA1" w:rsidRDefault="00AB530B" w:rsidP="00750654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429" w:left="1321" w:hangingChars="150" w:hanging="420"/>
        <w:rPr>
          <w:rFonts w:ascii="仿宋" w:eastAsia="仿宋" w:hAnsi="仿宋" w:cs="仿宋_GB2312"/>
          <w:color w:val="000000" w:themeColor="text1"/>
          <w:sz w:val="28"/>
          <w:szCs w:val="28"/>
          <w:lang w:val="zh-TW"/>
        </w:rPr>
      </w:pPr>
      <w:r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1）</w:t>
      </w:r>
      <w:r w:rsidR="00F34B07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在</w:t>
      </w:r>
      <w:r w:rsidR="00A475E3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海外高水平大学（由学院认定）任教</w:t>
      </w:r>
      <w:r w:rsidR="00F34B07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的</w:t>
      </w:r>
      <w:r w:rsidR="0030455A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在编在岗</w:t>
      </w:r>
      <w:r w:rsidR="001608D1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教授</w:t>
      </w:r>
      <w:r w:rsidR="00A475E3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，具</w:t>
      </w:r>
      <w:bookmarkStart w:id="1" w:name="_GoBack"/>
      <w:r w:rsidR="00A475E3" w:rsidRPr="00D34BA1">
        <w:rPr>
          <w:rFonts w:ascii="仿宋" w:eastAsia="仿宋" w:hAnsi="仿宋" w:cs="仿宋_GB2312" w:hint="eastAsia"/>
          <w:color w:val="000000" w:themeColor="text1"/>
          <w:sz w:val="28"/>
          <w:szCs w:val="28"/>
          <w:lang w:val="zh-TW"/>
        </w:rPr>
        <w:t>有较高学术水平。</w:t>
      </w:r>
    </w:p>
    <w:p w:rsidR="00A475E3" w:rsidRPr="00D34BA1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362" w:left="760" w:firstLineChars="50" w:firstLine="140"/>
        <w:rPr>
          <w:rFonts w:ascii="仿宋" w:eastAsia="仿宋" w:hAnsi="仿宋" w:cs="仿宋_GB2312"/>
          <w:bCs/>
          <w:color w:val="000000" w:themeColor="text1"/>
          <w:sz w:val="28"/>
          <w:szCs w:val="28"/>
          <w:lang w:val="zh-TW"/>
        </w:rPr>
      </w:pPr>
      <w:r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2）</w:t>
      </w:r>
      <w:r w:rsidR="00A475E3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与我校</w:t>
      </w:r>
      <w:r w:rsidR="004B6D73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在岗</w:t>
      </w:r>
      <w:r w:rsidR="00A475E3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博士生导师（第一导师）有实质合作研究。</w:t>
      </w:r>
    </w:p>
    <w:p w:rsidR="0030455A" w:rsidRPr="00D34BA1" w:rsidRDefault="00AB530B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Chars="250" w:firstLine="700"/>
        <w:rPr>
          <w:rFonts w:ascii="仿宋" w:eastAsia="仿宋" w:hAnsi="仿宋" w:cs="仿宋_GB2312"/>
          <w:bCs/>
          <w:color w:val="000000" w:themeColor="text1"/>
          <w:sz w:val="28"/>
          <w:szCs w:val="28"/>
          <w:lang w:val="zh-TW"/>
        </w:rPr>
      </w:pPr>
      <w:r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2、</w:t>
      </w:r>
      <w:r w:rsidR="0030455A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相关权益：</w:t>
      </w:r>
    </w:p>
    <w:bookmarkEnd w:id="1"/>
    <w:p w:rsidR="001608D1" w:rsidRPr="00D34BA1" w:rsidRDefault="001608D1" w:rsidP="00AB530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Chars="250" w:firstLine="700"/>
        <w:rPr>
          <w:rFonts w:ascii="仿宋" w:eastAsia="仿宋" w:hAnsi="仿宋" w:cs="仿宋_GB2312"/>
          <w:bCs/>
          <w:color w:val="000000" w:themeColor="text1"/>
          <w:sz w:val="28"/>
          <w:szCs w:val="28"/>
          <w:lang w:val="zh-TW"/>
        </w:rPr>
      </w:pPr>
      <w:r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按审核条件及程序确定的海外合作博士导师，将在2017年招生简章中体现（名列本校第一导师之后），但不具备独立招生资格。合作导师</w:t>
      </w:r>
      <w:r w:rsidR="006C17F6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应全程参与博士生培养过程，联合指导博士研究生学位论文</w:t>
      </w:r>
      <w:r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，</w:t>
      </w:r>
      <w:r w:rsidR="006C17F6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其贡献</w:t>
      </w:r>
      <w:r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将在指导的博士生学位论文</w:t>
      </w:r>
      <w:r w:rsidR="006C17F6"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和成果中</w:t>
      </w:r>
      <w:r w:rsidRPr="00D34BA1">
        <w:rPr>
          <w:rFonts w:ascii="仿宋" w:eastAsia="仿宋" w:hAnsi="仿宋" w:cs="仿宋_GB2312" w:hint="eastAsia"/>
          <w:bCs/>
          <w:color w:val="000000" w:themeColor="text1"/>
          <w:sz w:val="28"/>
          <w:szCs w:val="28"/>
          <w:lang w:val="zh-TW"/>
        </w:rPr>
        <w:t>体现。</w:t>
      </w:r>
    </w:p>
    <w:p w:rsidR="00894FBB" w:rsidRPr="00D34BA1" w:rsidRDefault="003871A7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/>
          <w:bCs/>
          <w:color w:val="000000" w:themeColor="text1"/>
          <w:sz w:val="28"/>
          <w:szCs w:val="28"/>
          <w:lang w:val="zh-TW"/>
        </w:rPr>
      </w:pPr>
      <w:r w:rsidRPr="00D34BA1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  <w:lang w:val="zh-TW"/>
        </w:rPr>
        <w:t>三</w:t>
      </w:r>
      <w:r w:rsidR="00FC5EB1" w:rsidRPr="00D34BA1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  <w:lang w:val="zh-TW"/>
        </w:rPr>
        <w:t>．</w:t>
      </w:r>
      <w:r w:rsidR="00CA08E6" w:rsidRPr="00D34BA1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  <w:lang w:val="zh-TW"/>
        </w:rPr>
        <w:t>审核程序</w:t>
      </w:r>
    </w:p>
    <w:p w:rsidR="00CA08E6" w:rsidRDefault="00A656E0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 w:rsidRPr="00D34BA1">
        <w:rPr>
          <w:rFonts w:ascii="仿宋_GB2312" w:eastAsia="仿宋_GB2312" w:hAnsi="仿宋_GB2312" w:cs="仿宋_GB2312" w:hint="eastAsia"/>
          <w:bCs/>
          <w:color w:val="000000" w:themeColor="text1"/>
          <w:sz w:val="28"/>
          <w:szCs w:val="28"/>
          <w:lang w:val="zh-TW"/>
        </w:rPr>
        <w:t>（一）</w:t>
      </w:r>
      <w:r w:rsidR="0012667B">
        <w:rPr>
          <w:rFonts w:ascii="仿宋_GB2312" w:eastAsia="仿宋_GB2312" w:hAnsi="仿宋_GB2312" w:cs="仿宋_GB2312" w:hint="eastAsia"/>
          <w:bCs/>
          <w:color w:val="000000" w:themeColor="text1"/>
          <w:sz w:val="28"/>
          <w:szCs w:val="28"/>
          <w:lang w:val="zh-TW"/>
        </w:rPr>
        <w:t>参照《西安交通大学医学部遴选博士研究生指导教师资格实施细则》与《西安交通大学医学部遴选硕士研究生指导教师资格实施细则》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。</w:t>
      </w:r>
      <w:r w:rsidR="004E198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于</w:t>
      </w:r>
      <w:r w:rsidR="0095483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2016</w:t>
      </w:r>
      <w:r w:rsidR="004E198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年6月</w:t>
      </w:r>
      <w:r w:rsidR="00A76686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6</w:t>
      </w:r>
      <w:r w:rsidR="004E198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日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（</w:t>
      </w:r>
      <w:r w:rsidR="0075065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星期</w:t>
      </w:r>
      <w:r w:rsidR="00A37820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一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）之</w:t>
      </w:r>
      <w:r w:rsidR="004E198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前提交</w:t>
      </w:r>
      <w:r w:rsidR="00A37820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医学部人才培养处</w:t>
      </w:r>
      <w:r w:rsidR="004E198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。</w:t>
      </w:r>
    </w:p>
    <w:p w:rsidR="004E1984" w:rsidRDefault="004E1984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（二）博导</w:t>
      </w:r>
      <w:r w:rsidR="00BF5567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、硕导</w:t>
      </w:r>
      <w:r w:rsidR="00D34BA1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年度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资格审核</w:t>
      </w:r>
      <w:r w:rsidR="004F7B42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流程</w:t>
      </w:r>
    </w:p>
    <w:p w:rsidR="004E1984" w:rsidRDefault="004E1984" w:rsidP="00A91773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leftChars="100" w:left="210" w:firstLine="551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 w:rsidRPr="000A5652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各院</w:t>
      </w:r>
      <w:r w:rsidR="00A76686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、系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根据</w:t>
      </w:r>
      <w:r w:rsidR="00A37820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实施细则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，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对拟于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2017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年招生的博导进行</w:t>
      </w:r>
      <w:r w:rsidR="004F7B42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资格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审核确认，填写《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2017</w:t>
      </w:r>
      <w:r w:rsidR="004F7B42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博导汇总表》（</w:t>
      </w:r>
      <w:r w:rsidR="00F022A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见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附件</w:t>
      </w:r>
      <w:r w:rsidR="00A0718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1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）</w:t>
      </w:r>
      <w:r w:rsidR="00BF5567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与《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2017</w:t>
      </w:r>
      <w:r w:rsidR="004F7B42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</w:t>
      </w:r>
      <w:r w:rsidR="00BF5567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硕导汇总表》（见附件</w:t>
      </w:r>
      <w:r w:rsidR="00A0718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</w:t>
      </w:r>
      <w:r w:rsidR="00BF5567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）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，并于</w:t>
      </w:r>
      <w:r w:rsidR="00B931FF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2016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年6月</w:t>
      </w:r>
      <w:r w:rsidR="00A76686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6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日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（</w:t>
      </w:r>
      <w:r w:rsidR="00750654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星期</w:t>
      </w:r>
      <w:r w:rsidR="00A37820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一</w:t>
      </w:r>
      <w:r w:rsidR="00D1621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）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前向</w:t>
      </w:r>
      <w:r w:rsidR="00A37820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医学部人才培养处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提交电子版与纸质版</w:t>
      </w:r>
      <w:r w:rsidR="00A0718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，请务必确保电子版与纸质版的一致性</w:t>
      </w:r>
      <w:r w:rsidR="00601925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。</w:t>
      </w:r>
    </w:p>
    <w:p w:rsidR="00CA08E6" w:rsidRPr="00CA08E6" w:rsidRDefault="00A37820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四</w:t>
      </w:r>
      <w:r w:rsidR="00FC5EB1"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．</w:t>
      </w:r>
      <w:r w:rsidR="00CA08E6" w:rsidRPr="00CA08E6">
        <w:rPr>
          <w:rFonts w:ascii="仿宋_GB2312" w:eastAsia="仿宋_GB2312" w:hAnsi="仿宋_GB2312" w:cs="仿宋_GB2312" w:hint="eastAsia"/>
          <w:b/>
          <w:bCs/>
          <w:color w:val="auto"/>
          <w:sz w:val="28"/>
          <w:szCs w:val="28"/>
          <w:lang w:val="zh-TW"/>
        </w:rPr>
        <w:t>补充说明</w:t>
      </w:r>
    </w:p>
    <w:p w:rsidR="009E470D" w:rsidRPr="0051406B" w:rsidRDefault="00CB787F" w:rsidP="005F3AF8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51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各院</w:t>
      </w:r>
      <w:r w:rsidR="00A76686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、系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在进行导师资格审核确认的过程中应严格把关，</w:t>
      </w:r>
      <w:r w:rsidR="00E27F3C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对于导师出现</w:t>
      </w:r>
      <w:r w:rsidR="00E27F3C" w:rsidRPr="0051406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西交研</w:t>
      </w:r>
      <w:r w:rsidR="00E27F3C"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〔2014〕97号</w:t>
      </w:r>
      <w:r w:rsidR="00E27F3C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文件第十二条所列情形的情况，应取消其导师资格；对于导师出现</w:t>
      </w:r>
      <w:r w:rsidR="00E27F3C" w:rsidRPr="0051406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西交研</w:t>
      </w:r>
      <w:r w:rsidR="00E27F3C"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〔2014〕97号</w:t>
      </w:r>
      <w:r w:rsidR="00E27F3C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文件第十三条所列情形的情况，应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视情节轻重，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对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其进行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全</w:t>
      </w:r>
      <w:r w:rsidR="00E27F3C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院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通报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，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暂停招收研究生</w:t>
      </w:r>
      <w:r w:rsidR="00E27F3C" w:rsidRPr="000A5652">
        <w:rPr>
          <w:rFonts w:ascii="仿宋_GB2312" w:eastAsia="仿宋_GB2312" w:hAnsi="仿宋_GB2312" w:cs="仿宋_GB2312"/>
          <w:color w:val="auto"/>
          <w:sz w:val="28"/>
          <w:szCs w:val="28"/>
        </w:rPr>
        <w:t>1-3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年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，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在</w:t>
      </w:r>
      <w:r w:rsidR="00E27F3C" w:rsidRPr="000A5652">
        <w:rPr>
          <w:rFonts w:ascii="仿宋_GB2312" w:eastAsia="仿宋_GB2312" w:hAnsi="仿宋_GB2312" w:cs="仿宋_GB2312"/>
          <w:color w:val="auto"/>
          <w:sz w:val="28"/>
          <w:szCs w:val="28"/>
        </w:rPr>
        <w:t>3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年内不得担任学院学位评定分委员会委员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，直至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取消其招收研究生资格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/>
        </w:rPr>
        <w:t>的处理</w:t>
      </w:r>
      <w:r w:rsidR="00E27F3C" w:rsidRPr="000A5652">
        <w:rPr>
          <w:rFonts w:ascii="仿宋_GB2312" w:eastAsia="仿宋_GB2312" w:hAnsi="仿宋_GB2312" w:cs="仿宋_GB2312" w:hint="eastAsia"/>
          <w:color w:val="auto"/>
          <w:sz w:val="28"/>
          <w:szCs w:val="28"/>
          <w:lang w:val="zh-TW" w:eastAsia="zh-TW"/>
        </w:rPr>
        <w:t>。</w:t>
      </w:r>
    </w:p>
    <w:p w:rsidR="00954834" w:rsidRDefault="00E27F3C" w:rsidP="00A0718A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62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int="eastAsia"/>
          <w:color w:val="auto"/>
          <w:sz w:val="28"/>
          <w:szCs w:val="28"/>
        </w:rPr>
        <w:t>附件1：</w:t>
      </w:r>
      <w:r w:rsidR="0012667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《2016年博导汇总表》</w:t>
      </w:r>
    </w:p>
    <w:p w:rsidR="00954834" w:rsidRDefault="00D16215" w:rsidP="00D16215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Chars="200" w:firstLine="560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附件2：</w:t>
      </w:r>
      <w:r w:rsidR="00A0718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《2016</w:t>
      </w:r>
      <w:r w:rsidR="00087AC1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年</w:t>
      </w:r>
      <w:r w:rsidR="00A0718A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硕导汇总表》</w:t>
      </w:r>
    </w:p>
    <w:p w:rsidR="00BF5567" w:rsidRPr="004F7B42" w:rsidRDefault="00BF5567" w:rsidP="005F3AF8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62"/>
        <w:rPr>
          <w:rFonts w:ascii="仿宋_GB2312" w:eastAsia="仿宋_GB2312" w:hAnsi="仿宋_GB2312" w:cs="仿宋_GB2312"/>
          <w:bCs/>
          <w:color w:val="000000" w:themeColor="text1"/>
          <w:sz w:val="28"/>
          <w:szCs w:val="28"/>
          <w:lang w:val="zh-TW"/>
        </w:rPr>
      </w:pPr>
      <w:r w:rsidRPr="004F7B42">
        <w:rPr>
          <w:rFonts w:ascii="仿宋_GB2312" w:eastAsia="仿宋_GB2312" w:hAnsi="仿宋_GB2312" w:cs="仿宋_GB2312" w:hint="eastAsia"/>
          <w:bCs/>
          <w:color w:val="000000" w:themeColor="text1"/>
          <w:sz w:val="28"/>
          <w:szCs w:val="28"/>
          <w:lang w:val="zh-TW"/>
        </w:rPr>
        <w:t>附件3：《</w:t>
      </w:r>
      <w:r w:rsidR="006C17F6" w:rsidRPr="004F7B42">
        <w:rPr>
          <w:rFonts w:ascii="仿宋_GB2312" w:eastAsia="仿宋_GB2312" w:hAnsi="仿宋_GB2312" w:cs="仿宋_GB2312" w:hint="eastAsia"/>
          <w:bCs/>
          <w:color w:val="000000" w:themeColor="text1"/>
          <w:sz w:val="28"/>
          <w:szCs w:val="28"/>
          <w:lang w:val="zh-TW"/>
        </w:rPr>
        <w:t>海外高水平大学合作博导申请表</w:t>
      </w:r>
      <w:r w:rsidR="00D512F1" w:rsidRPr="004F7B42">
        <w:rPr>
          <w:rFonts w:ascii="仿宋_GB2312" w:eastAsia="仿宋_GB2312" w:hAnsi="仿宋_GB2312" w:cs="仿宋_GB2312" w:hint="eastAsia"/>
          <w:bCs/>
          <w:color w:val="000000" w:themeColor="text1"/>
          <w:sz w:val="28"/>
          <w:szCs w:val="28"/>
          <w:lang w:val="zh-TW"/>
        </w:rPr>
        <w:t>》</w:t>
      </w:r>
    </w:p>
    <w:p w:rsidR="00A0718A" w:rsidRDefault="00A0718A" w:rsidP="00A0718A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62"/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</w:pPr>
      <w:r>
        <w:rPr>
          <w:rFonts w:ascii="仿宋_GB2312" w:eastAsia="仿宋_GB2312" w:hint="eastAsia"/>
          <w:color w:val="auto"/>
          <w:sz w:val="28"/>
          <w:szCs w:val="28"/>
        </w:rPr>
        <w:lastRenderedPageBreak/>
        <w:t>附件4：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《</w:t>
      </w:r>
      <w:r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西安交通大学研究生指导教师岗位管理办法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》（</w:t>
      </w:r>
      <w:r w:rsidRPr="0051406B"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西交研</w:t>
      </w:r>
      <w:r w:rsidRPr="0051406B">
        <w:rPr>
          <w:rFonts w:ascii="仿宋_GB2312" w:eastAsia="仿宋_GB2312" w:hAnsi="仿宋_GB2312" w:cs="仿宋_GB2312"/>
          <w:bCs/>
          <w:color w:val="auto"/>
          <w:sz w:val="28"/>
          <w:szCs w:val="28"/>
          <w:lang w:val="zh-TW"/>
        </w:rPr>
        <w:t>〔2014〕97号</w:t>
      </w:r>
      <w:r>
        <w:rPr>
          <w:rFonts w:ascii="仿宋_GB2312" w:eastAsia="仿宋_GB2312" w:hAnsi="仿宋_GB2312" w:cs="仿宋_GB2312" w:hint="eastAsia"/>
          <w:bCs/>
          <w:color w:val="auto"/>
          <w:sz w:val="28"/>
          <w:szCs w:val="28"/>
          <w:lang w:val="zh-TW"/>
        </w:rPr>
        <w:t>）</w:t>
      </w:r>
    </w:p>
    <w:p w:rsidR="00954834" w:rsidRDefault="00954834" w:rsidP="00954834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62"/>
        <w:rPr>
          <w:rFonts w:ascii="仿宋_GB2312" w:eastAsia="仿宋_GB2312"/>
          <w:color w:val="auto"/>
          <w:sz w:val="28"/>
          <w:szCs w:val="28"/>
        </w:rPr>
      </w:pPr>
    </w:p>
    <w:p w:rsidR="00A37820" w:rsidRDefault="00A37820" w:rsidP="00954834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62"/>
        <w:rPr>
          <w:rFonts w:ascii="仿宋_GB2312" w:eastAsia="仿宋_GB2312" w:hint="eastAsia"/>
          <w:color w:val="auto"/>
          <w:sz w:val="28"/>
          <w:szCs w:val="28"/>
        </w:rPr>
      </w:pPr>
    </w:p>
    <w:p w:rsidR="00A37820" w:rsidRPr="00954834" w:rsidRDefault="00A37820" w:rsidP="00954834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="562"/>
        <w:rPr>
          <w:rFonts w:ascii="仿宋_GB2312" w:eastAsia="仿宋_GB2312"/>
          <w:color w:val="auto"/>
          <w:sz w:val="28"/>
          <w:szCs w:val="28"/>
        </w:rPr>
      </w:pPr>
    </w:p>
    <w:p w:rsidR="00A37820" w:rsidRDefault="0042494F" w:rsidP="00A3782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  <w:ind w:firstLineChars="300" w:firstLine="840"/>
        <w:rPr>
          <w:rFonts w:ascii="仿宋_GB2312" w:eastAsia="仿宋_GB2312" w:hAnsi="仿宋_GB2312" w:cs="仿宋_GB2312"/>
          <w:color w:val="auto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     </w:t>
      </w:r>
      <w:r w:rsidR="00A37820"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                       </w:t>
      </w:r>
      <w:r w:rsidR="00A37820">
        <w:rPr>
          <w:rFonts w:ascii="仿宋_GB2312" w:eastAsia="仿宋_GB2312" w:hAnsi="仿宋_GB2312" w:cs="仿宋_GB2312" w:hint="eastAsia"/>
          <w:color w:val="auto"/>
          <w:sz w:val="28"/>
          <w:szCs w:val="28"/>
        </w:rPr>
        <w:t>医学部人才培养处</w:t>
      </w:r>
    </w:p>
    <w:p w:rsidR="00402A6A" w:rsidRPr="0042494F" w:rsidRDefault="0042494F" w:rsidP="00A37820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400" w:lineRule="exact"/>
      </w:pP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    </w:t>
      </w:r>
      <w:r w:rsidR="00A37820"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    </w:t>
      </w: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                    </w:t>
      </w:r>
      <w:r w:rsidR="00E27F3C">
        <w:rPr>
          <w:rFonts w:ascii="仿宋_GB2312" w:eastAsia="仿宋_GB2312" w:hAnsi="仿宋_GB2312" w:cs="仿宋_GB2312" w:hint="eastAsia"/>
          <w:color w:val="auto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>二〇一</w:t>
      </w:r>
      <w:r w:rsidR="00D512F1">
        <w:rPr>
          <w:rFonts w:ascii="仿宋_GB2312" w:eastAsia="仿宋_GB2312" w:hAnsi="仿宋_GB2312" w:cs="仿宋_GB2312" w:hint="eastAsia"/>
          <w:color w:val="auto"/>
          <w:sz w:val="28"/>
          <w:szCs w:val="28"/>
        </w:rPr>
        <w:t>六</w:t>
      </w:r>
      <w:r w:rsidR="00E27F3C">
        <w:rPr>
          <w:rFonts w:ascii="仿宋_GB2312" w:eastAsia="仿宋_GB2312" w:hAnsi="仿宋_GB2312" w:cs="仿宋_GB2312" w:hint="eastAsia"/>
          <w:color w:val="auto"/>
          <w:sz w:val="28"/>
          <w:szCs w:val="28"/>
        </w:rPr>
        <w:t>年五月</w:t>
      </w:r>
      <w:r w:rsidR="00A37820">
        <w:rPr>
          <w:rFonts w:ascii="仿宋_GB2312" w:eastAsia="仿宋_GB2312" w:hAnsi="仿宋_GB2312" w:cs="仿宋_GB2312" w:hint="eastAsia"/>
          <w:color w:val="auto"/>
          <w:sz w:val="28"/>
          <w:szCs w:val="28"/>
        </w:rPr>
        <w:t>二十五</w:t>
      </w:r>
      <w:r>
        <w:rPr>
          <w:rFonts w:ascii="仿宋_GB2312" w:eastAsia="仿宋_GB2312" w:hAnsi="仿宋_GB2312" w:cs="仿宋_GB2312" w:hint="eastAsia"/>
          <w:color w:val="auto"/>
          <w:sz w:val="28"/>
          <w:szCs w:val="28"/>
        </w:rPr>
        <w:t>日</w:t>
      </w:r>
    </w:p>
    <w:sectPr w:rsidR="00402A6A" w:rsidRPr="0042494F" w:rsidSect="005A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EEE" w:rsidRDefault="00EF7EEE" w:rsidP="0042494F">
      <w:r>
        <w:separator/>
      </w:r>
    </w:p>
  </w:endnote>
  <w:endnote w:type="continuationSeparator" w:id="0">
    <w:p w:rsidR="00EF7EEE" w:rsidRDefault="00EF7EEE" w:rsidP="0042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EEE" w:rsidRDefault="00EF7EEE" w:rsidP="0042494F">
      <w:r>
        <w:separator/>
      </w:r>
    </w:p>
  </w:footnote>
  <w:footnote w:type="continuationSeparator" w:id="0">
    <w:p w:rsidR="00EF7EEE" w:rsidRDefault="00EF7EEE" w:rsidP="00424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40A53"/>
    <w:multiLevelType w:val="hybridMultilevel"/>
    <w:tmpl w:val="94FC2196"/>
    <w:lvl w:ilvl="0" w:tplc="989E504A">
      <w:start w:val="1"/>
      <w:numFmt w:val="japaneseCounting"/>
      <w:lvlText w:val="（%1）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494F"/>
    <w:rsid w:val="0000475C"/>
    <w:rsid w:val="00064D0A"/>
    <w:rsid w:val="00087AC1"/>
    <w:rsid w:val="000D6D78"/>
    <w:rsid w:val="0010306A"/>
    <w:rsid w:val="0012667B"/>
    <w:rsid w:val="001510FB"/>
    <w:rsid w:val="001608D1"/>
    <w:rsid w:val="001A44F7"/>
    <w:rsid w:val="001C1F9C"/>
    <w:rsid w:val="001C4EDB"/>
    <w:rsid w:val="001D7480"/>
    <w:rsid w:val="00260D17"/>
    <w:rsid w:val="00261FDF"/>
    <w:rsid w:val="002B68F7"/>
    <w:rsid w:val="002F3767"/>
    <w:rsid w:val="002F4EB6"/>
    <w:rsid w:val="0030455A"/>
    <w:rsid w:val="00351E00"/>
    <w:rsid w:val="00374613"/>
    <w:rsid w:val="003871A7"/>
    <w:rsid w:val="003A798A"/>
    <w:rsid w:val="003E4469"/>
    <w:rsid w:val="003E63F7"/>
    <w:rsid w:val="00402A6A"/>
    <w:rsid w:val="00406757"/>
    <w:rsid w:val="0042494F"/>
    <w:rsid w:val="00447B22"/>
    <w:rsid w:val="00461D76"/>
    <w:rsid w:val="004B1938"/>
    <w:rsid w:val="004B371F"/>
    <w:rsid w:val="004B6D73"/>
    <w:rsid w:val="004E1984"/>
    <w:rsid w:val="004F7B42"/>
    <w:rsid w:val="0051406B"/>
    <w:rsid w:val="00543774"/>
    <w:rsid w:val="005669C0"/>
    <w:rsid w:val="005A010C"/>
    <w:rsid w:val="005E0B24"/>
    <w:rsid w:val="005F3AF8"/>
    <w:rsid w:val="00600337"/>
    <w:rsid w:val="00601925"/>
    <w:rsid w:val="00673F74"/>
    <w:rsid w:val="006C17F6"/>
    <w:rsid w:val="006D4B62"/>
    <w:rsid w:val="006D7B14"/>
    <w:rsid w:val="00750654"/>
    <w:rsid w:val="007D1116"/>
    <w:rsid w:val="00800780"/>
    <w:rsid w:val="00840CC3"/>
    <w:rsid w:val="00894FBB"/>
    <w:rsid w:val="008953B9"/>
    <w:rsid w:val="008C6ECA"/>
    <w:rsid w:val="008E0C62"/>
    <w:rsid w:val="008E28A2"/>
    <w:rsid w:val="00954834"/>
    <w:rsid w:val="0096550A"/>
    <w:rsid w:val="009B3ADD"/>
    <w:rsid w:val="009C0F15"/>
    <w:rsid w:val="009E470D"/>
    <w:rsid w:val="00A0718A"/>
    <w:rsid w:val="00A37820"/>
    <w:rsid w:val="00A475E3"/>
    <w:rsid w:val="00A55439"/>
    <w:rsid w:val="00A656E0"/>
    <w:rsid w:val="00A76686"/>
    <w:rsid w:val="00A91773"/>
    <w:rsid w:val="00AA393B"/>
    <w:rsid w:val="00AB530B"/>
    <w:rsid w:val="00B647B9"/>
    <w:rsid w:val="00B81944"/>
    <w:rsid w:val="00B931FF"/>
    <w:rsid w:val="00B95E45"/>
    <w:rsid w:val="00BA03B0"/>
    <w:rsid w:val="00BF5567"/>
    <w:rsid w:val="00C24A72"/>
    <w:rsid w:val="00C911B3"/>
    <w:rsid w:val="00CA08E6"/>
    <w:rsid w:val="00CB787F"/>
    <w:rsid w:val="00CF10CA"/>
    <w:rsid w:val="00CF2D45"/>
    <w:rsid w:val="00D16215"/>
    <w:rsid w:val="00D34BA1"/>
    <w:rsid w:val="00D512F1"/>
    <w:rsid w:val="00D724D2"/>
    <w:rsid w:val="00D82AF0"/>
    <w:rsid w:val="00DB25C5"/>
    <w:rsid w:val="00E012C0"/>
    <w:rsid w:val="00E23CF0"/>
    <w:rsid w:val="00E24B70"/>
    <w:rsid w:val="00E27F3C"/>
    <w:rsid w:val="00E5041A"/>
    <w:rsid w:val="00EC7B17"/>
    <w:rsid w:val="00EF7EEE"/>
    <w:rsid w:val="00F022AA"/>
    <w:rsid w:val="00F11991"/>
    <w:rsid w:val="00F232B1"/>
    <w:rsid w:val="00F34B07"/>
    <w:rsid w:val="00F41421"/>
    <w:rsid w:val="00F96989"/>
    <w:rsid w:val="00FB754D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9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9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9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94F"/>
    <w:rPr>
      <w:sz w:val="18"/>
      <w:szCs w:val="18"/>
    </w:rPr>
  </w:style>
  <w:style w:type="paragraph" w:customStyle="1" w:styleId="A5">
    <w:name w:val="正文 A"/>
    <w:rsid w:val="0042494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Times New Roman" w:eastAsia="Times New Roman" w:hAnsi="Arial Unicode MS" w:cs="Times New Roman"/>
      <w:color w:val="000000"/>
      <w:szCs w:val="21"/>
      <w:u w:color="000000"/>
    </w:rPr>
  </w:style>
  <w:style w:type="paragraph" w:customStyle="1" w:styleId="Default">
    <w:name w:val="Default"/>
    <w:rsid w:val="0042494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FangSong" w:eastAsia="宋体" w:hAnsi="FangSong" w:cs="FangSong"/>
      <w:color w:val="000000"/>
      <w:kern w:val="0"/>
      <w:sz w:val="24"/>
      <w:szCs w:val="24"/>
      <w:u w:color="000000"/>
    </w:rPr>
  </w:style>
  <w:style w:type="character" w:styleId="a6">
    <w:name w:val="Hyperlink"/>
    <w:basedOn w:val="a0"/>
    <w:uiPriority w:val="99"/>
    <w:semiHidden/>
    <w:unhideWhenUsed/>
    <w:rsid w:val="00E27F3C"/>
    <w:rPr>
      <w:strike w:val="0"/>
      <w:dstrike w:val="0"/>
      <w:color w:val="000000"/>
      <w:u w:val="none"/>
      <w:effect w:val="none"/>
    </w:rPr>
  </w:style>
  <w:style w:type="paragraph" w:styleId="a7">
    <w:name w:val="Balloon Text"/>
    <w:basedOn w:val="a"/>
    <w:link w:val="Char1"/>
    <w:uiPriority w:val="99"/>
    <w:semiHidden/>
    <w:unhideWhenUsed/>
    <w:rsid w:val="00AB530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B530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9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9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9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94F"/>
    <w:rPr>
      <w:sz w:val="18"/>
      <w:szCs w:val="18"/>
    </w:rPr>
  </w:style>
  <w:style w:type="paragraph" w:customStyle="1" w:styleId="A5">
    <w:name w:val="正文 A"/>
    <w:rsid w:val="0042494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Times New Roman" w:eastAsia="Times New Roman" w:hAnsi="Arial Unicode MS" w:cs="Times New Roman"/>
      <w:color w:val="000000"/>
      <w:szCs w:val="21"/>
      <w:u w:color="000000"/>
    </w:rPr>
  </w:style>
  <w:style w:type="paragraph" w:customStyle="1" w:styleId="Default">
    <w:name w:val="Default"/>
    <w:rsid w:val="0042494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FangSong" w:eastAsia="宋体" w:hAnsi="FangSong" w:cs="FangSong"/>
      <w:color w:val="000000"/>
      <w:kern w:val="0"/>
      <w:sz w:val="24"/>
      <w:szCs w:val="24"/>
      <w:u w:color="000000"/>
    </w:rPr>
  </w:style>
  <w:style w:type="character" w:styleId="a6">
    <w:name w:val="Hyperlink"/>
    <w:basedOn w:val="a0"/>
    <w:uiPriority w:val="99"/>
    <w:semiHidden/>
    <w:unhideWhenUsed/>
    <w:rsid w:val="00E27F3C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30C992-F5C4-4368-AC73-2B286D8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史田野</dc:creator>
  <cp:lastModifiedBy>hp</cp:lastModifiedBy>
  <cp:revision>24</cp:revision>
  <cp:lastPrinted>2016-05-11T08:48:00Z</cp:lastPrinted>
  <dcterms:created xsi:type="dcterms:W3CDTF">2016-05-09T09:41:00Z</dcterms:created>
  <dcterms:modified xsi:type="dcterms:W3CDTF">2016-05-26T02:09:00Z</dcterms:modified>
</cp:coreProperties>
</file>