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D98" w:rsidRPr="00126D98" w:rsidRDefault="00126D98" w:rsidP="00126D98">
      <w:pPr>
        <w:widowControl/>
        <w:jc w:val="center"/>
        <w:outlineLvl w:val="2"/>
        <w:rPr>
          <w:rFonts w:ascii="微软雅黑" w:eastAsia="微软雅黑" w:hAnsi="微软雅黑" w:cs="宋体"/>
          <w:color w:val="333333"/>
          <w:kern w:val="0"/>
          <w:sz w:val="36"/>
          <w:szCs w:val="36"/>
        </w:rPr>
      </w:pPr>
      <w:r w:rsidRPr="00126D98">
        <w:rPr>
          <w:rFonts w:ascii="微软雅黑" w:eastAsia="微软雅黑" w:hAnsi="微软雅黑" w:cs="宋体" w:hint="eastAsia"/>
          <w:color w:val="333333"/>
          <w:kern w:val="0"/>
          <w:sz w:val="36"/>
          <w:szCs w:val="36"/>
        </w:rPr>
        <w:t>关于培育2023年基础通识类课程的通知</w:t>
      </w:r>
    </w:p>
    <w:p w:rsidR="00126D98" w:rsidRPr="00126D98" w:rsidRDefault="00126D98" w:rsidP="00126D98">
      <w:pPr>
        <w:widowControl/>
        <w:pBdr>
          <w:bottom w:val="dashed" w:sz="6" w:space="0" w:color="CCCCCC"/>
        </w:pBdr>
        <w:spacing w:line="750" w:lineRule="atLeast"/>
        <w:jc w:val="center"/>
        <w:outlineLvl w:val="0"/>
        <w:rPr>
          <w:rFonts w:ascii="微软雅黑" w:eastAsia="微软雅黑" w:hAnsi="微软雅黑" w:cs="宋体" w:hint="eastAsia"/>
          <w:color w:val="000000"/>
          <w:kern w:val="36"/>
          <w:sz w:val="18"/>
          <w:szCs w:val="18"/>
        </w:rPr>
      </w:pPr>
      <w:r w:rsidRPr="00126D98">
        <w:rPr>
          <w:rFonts w:ascii="微软雅黑" w:eastAsia="微软雅黑" w:hAnsi="微软雅黑" w:cs="宋体" w:hint="eastAsia"/>
          <w:color w:val="2365A8"/>
          <w:kern w:val="36"/>
          <w:sz w:val="18"/>
          <w:szCs w:val="18"/>
        </w:rPr>
        <w:t>信息来源：</w:t>
      </w:r>
      <w:r w:rsidRPr="00126D98">
        <w:rPr>
          <w:rFonts w:ascii="微软雅黑" w:eastAsia="微软雅黑" w:hAnsi="微软雅黑" w:cs="宋体" w:hint="eastAsia"/>
          <w:color w:val="000000"/>
          <w:kern w:val="36"/>
          <w:sz w:val="18"/>
          <w:szCs w:val="18"/>
        </w:rPr>
        <w:t> </w:t>
      </w:r>
      <w:r w:rsidRPr="00126D98">
        <w:rPr>
          <w:rFonts w:ascii="微软雅黑" w:eastAsia="微软雅黑" w:hAnsi="微软雅黑" w:cs="宋体" w:hint="eastAsia"/>
          <w:color w:val="2365A8"/>
          <w:kern w:val="36"/>
          <w:sz w:val="18"/>
          <w:szCs w:val="18"/>
        </w:rPr>
        <w:t>发布日期: </w:t>
      </w:r>
      <w:r w:rsidRPr="00126D98">
        <w:rPr>
          <w:rFonts w:ascii="微软雅黑" w:eastAsia="微软雅黑" w:hAnsi="微软雅黑" w:cs="宋体" w:hint="eastAsia"/>
          <w:color w:val="000000"/>
          <w:kern w:val="36"/>
          <w:sz w:val="18"/>
          <w:szCs w:val="18"/>
        </w:rPr>
        <w:t>2022-11-17</w:t>
      </w:r>
      <w:r w:rsidRPr="00126D98">
        <w:rPr>
          <w:rFonts w:ascii="微软雅黑" w:eastAsia="微软雅黑" w:hAnsi="微软雅黑" w:cs="宋体" w:hint="eastAsia"/>
          <w:color w:val="2365A8"/>
          <w:kern w:val="36"/>
          <w:sz w:val="18"/>
          <w:szCs w:val="18"/>
        </w:rPr>
        <w:t>浏览次数: 638</w:t>
      </w:r>
    </w:p>
    <w:p w:rsidR="00126D98" w:rsidRPr="00126D98" w:rsidRDefault="00126D98" w:rsidP="00126D98">
      <w:pPr>
        <w:widowControl/>
        <w:spacing w:line="555" w:lineRule="atLeast"/>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b/>
          <w:bCs/>
          <w:color w:val="000000"/>
          <w:kern w:val="0"/>
          <w:sz w:val="29"/>
          <w:szCs w:val="29"/>
        </w:rPr>
        <w:t>各学院（部、中心）及有关单位：</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color w:val="000000"/>
          <w:kern w:val="0"/>
          <w:sz w:val="29"/>
          <w:szCs w:val="29"/>
        </w:rPr>
        <w:t>为全面推进通专融合的人才培养模式，贯彻落实《西安交通大学基础通识类课程建设方案》（详见附件1），不断完善通识课程体系，现启动2023年新增基础通识类课程培育工作。</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b/>
          <w:bCs/>
          <w:color w:val="000000"/>
          <w:kern w:val="0"/>
          <w:sz w:val="29"/>
          <w:szCs w:val="29"/>
        </w:rPr>
        <w:t>一、培育类型</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b/>
          <w:bCs/>
          <w:color w:val="000000"/>
          <w:kern w:val="0"/>
          <w:sz w:val="29"/>
          <w:szCs w:val="29"/>
        </w:rPr>
        <w:t>1.基础通识类核心课</w:t>
      </w:r>
      <w:r w:rsidRPr="00126D98">
        <w:rPr>
          <w:rFonts w:ascii="微软雅黑" w:eastAsia="微软雅黑" w:hAnsi="微软雅黑" w:cs="宋体" w:hint="eastAsia"/>
          <w:color w:val="000000"/>
          <w:kern w:val="0"/>
          <w:sz w:val="29"/>
          <w:szCs w:val="29"/>
        </w:rPr>
        <w:t>。</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color w:val="000000"/>
          <w:kern w:val="0"/>
          <w:sz w:val="29"/>
          <w:szCs w:val="29"/>
        </w:rPr>
        <w:t>基础通识类核心课采用定向邀请和立项招标两种模式进行。定向邀请由教务处邀请学术水平高、教学经验丰富的教师及团队申请；立项招标由教务处根据现有课程体系和布局，给定参考课程主题（详见附件2），全校教师可根据课程主题进行申请。</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b/>
          <w:bCs/>
          <w:color w:val="000000"/>
          <w:kern w:val="0"/>
          <w:sz w:val="29"/>
          <w:szCs w:val="29"/>
        </w:rPr>
        <w:t>2.基础通识课类选修课</w:t>
      </w:r>
      <w:r w:rsidRPr="00126D98">
        <w:rPr>
          <w:rFonts w:ascii="微软雅黑" w:eastAsia="微软雅黑" w:hAnsi="微软雅黑" w:cs="宋体" w:hint="eastAsia"/>
          <w:color w:val="000000"/>
          <w:kern w:val="0"/>
          <w:sz w:val="29"/>
          <w:szCs w:val="29"/>
        </w:rPr>
        <w:t>。</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color w:val="000000"/>
          <w:kern w:val="0"/>
          <w:sz w:val="29"/>
          <w:szCs w:val="29"/>
        </w:rPr>
        <w:t>基础通识类选修课由教师自主申报，需满足课程模块及内涵要求。</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b/>
          <w:bCs/>
          <w:color w:val="000000"/>
          <w:kern w:val="0"/>
          <w:sz w:val="29"/>
          <w:szCs w:val="29"/>
        </w:rPr>
        <w:t>3.“经典阅读”课</w:t>
      </w:r>
      <w:r w:rsidRPr="00126D98">
        <w:rPr>
          <w:rFonts w:ascii="微软雅黑" w:eastAsia="微软雅黑" w:hAnsi="微软雅黑" w:cs="宋体" w:hint="eastAsia"/>
          <w:color w:val="000000"/>
          <w:kern w:val="0"/>
          <w:sz w:val="29"/>
          <w:szCs w:val="29"/>
        </w:rPr>
        <w:t>。“经典阅读”课实施小班教学，属于基础通识类选修课，可选择自然科学及人文社科优秀经典读本进行课堂解读和课后读书研讨（详见附件3，可扩展）。</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b/>
          <w:bCs/>
          <w:color w:val="000000"/>
          <w:kern w:val="0"/>
          <w:sz w:val="29"/>
          <w:szCs w:val="29"/>
        </w:rPr>
        <w:t>4.特色实践课。</w:t>
      </w:r>
      <w:r w:rsidRPr="00126D98">
        <w:rPr>
          <w:rFonts w:ascii="微软雅黑" w:eastAsia="微软雅黑" w:hAnsi="微软雅黑" w:cs="宋体" w:hint="eastAsia"/>
          <w:color w:val="000000"/>
          <w:kern w:val="0"/>
          <w:sz w:val="29"/>
          <w:szCs w:val="29"/>
        </w:rPr>
        <w:t>特色实践课属于基础通识类选修课。主要为美育、工程创新等相关实践课程。实践课程中实践学时占比应大于50%。</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b/>
          <w:bCs/>
          <w:color w:val="000000"/>
          <w:kern w:val="0"/>
          <w:sz w:val="29"/>
          <w:szCs w:val="29"/>
        </w:rPr>
        <w:t>二、申报要求</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color w:val="000000"/>
          <w:kern w:val="0"/>
          <w:sz w:val="29"/>
          <w:szCs w:val="29"/>
        </w:rPr>
        <w:lastRenderedPageBreak/>
        <w:t>1.新申报课程应体现</w:t>
      </w:r>
      <w:r w:rsidRPr="00126D98">
        <w:rPr>
          <w:rFonts w:ascii="微软雅黑" w:eastAsia="微软雅黑" w:hAnsi="微软雅黑" w:cs="宋体" w:hint="eastAsia"/>
          <w:b/>
          <w:bCs/>
          <w:color w:val="000000"/>
          <w:kern w:val="0"/>
          <w:sz w:val="29"/>
          <w:szCs w:val="29"/>
        </w:rPr>
        <w:t>通识内涵</w:t>
      </w:r>
      <w:r w:rsidRPr="00126D98">
        <w:rPr>
          <w:rFonts w:ascii="微软雅黑" w:eastAsia="微软雅黑" w:hAnsi="微软雅黑" w:cs="宋体" w:hint="eastAsia"/>
          <w:color w:val="000000"/>
          <w:kern w:val="0"/>
          <w:sz w:val="29"/>
          <w:szCs w:val="29"/>
        </w:rPr>
        <w:t>，符合各模块课程建设目标，注意与专业课程及概论课程相区别。</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color w:val="000000"/>
          <w:kern w:val="0"/>
          <w:sz w:val="29"/>
          <w:szCs w:val="29"/>
        </w:rPr>
        <w:t>2．通识核心课教师一般不超过5人，课程负责人具有副教授及以上职称，至少五年以上教学经历，团队教师应具有讲师及以上职称；通识选修课教师不超过3人，课程负责人具有讲师及以上职称，至少两年以上教学经历。所有任课教师都应具备独立授课资格。</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color w:val="000000"/>
          <w:kern w:val="0"/>
          <w:sz w:val="29"/>
          <w:szCs w:val="29"/>
        </w:rPr>
        <w:t>3.课程团队须对教学内容、教材建设、考核办法、课程组织形式等重要方面有明确准备或具体计划，保证课程设计的系统性和课程建设的可持续性。</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color w:val="000000"/>
          <w:kern w:val="0"/>
          <w:sz w:val="29"/>
          <w:szCs w:val="29"/>
        </w:rPr>
        <w:t>4.新申报课程名称、内容应与现有课程相区别（见附件4）。</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color w:val="000000"/>
          <w:kern w:val="0"/>
          <w:sz w:val="29"/>
          <w:szCs w:val="29"/>
        </w:rPr>
        <w:t>5.鼓励跨学院教师联合申报，建设</w:t>
      </w:r>
      <w:r w:rsidRPr="00126D98">
        <w:rPr>
          <w:rFonts w:ascii="微软雅黑" w:eastAsia="微软雅黑" w:hAnsi="微软雅黑" w:cs="宋体" w:hint="eastAsia"/>
          <w:b/>
          <w:bCs/>
          <w:color w:val="000000"/>
          <w:kern w:val="0"/>
          <w:sz w:val="29"/>
          <w:szCs w:val="29"/>
        </w:rPr>
        <w:t>跨学科交叉</w:t>
      </w:r>
      <w:r w:rsidRPr="00126D98">
        <w:rPr>
          <w:rFonts w:ascii="微软雅黑" w:eastAsia="微软雅黑" w:hAnsi="微软雅黑" w:cs="宋体" w:hint="eastAsia"/>
          <w:color w:val="000000"/>
          <w:kern w:val="0"/>
          <w:sz w:val="29"/>
          <w:szCs w:val="29"/>
        </w:rPr>
        <w:t>课程，同等条件下可优先立项。</w:t>
      </w:r>
    </w:p>
    <w:p w:rsidR="00126D98" w:rsidRPr="00126D98" w:rsidRDefault="00126D98" w:rsidP="00126D98">
      <w:pPr>
        <w:widowControl/>
        <w:spacing w:line="555" w:lineRule="atLeast"/>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color w:val="000000"/>
          <w:kern w:val="0"/>
          <w:sz w:val="29"/>
          <w:szCs w:val="29"/>
        </w:rPr>
        <w:t>6. 申请经典阅读课程为1学分；其他课程均为2学分；重点课程经申请和专家评估后可设置3学分。</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b/>
          <w:bCs/>
          <w:color w:val="000000"/>
          <w:kern w:val="0"/>
          <w:sz w:val="29"/>
          <w:szCs w:val="29"/>
        </w:rPr>
        <w:t>三、培育流程与安排</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color w:val="000000"/>
          <w:kern w:val="0"/>
          <w:sz w:val="29"/>
          <w:szCs w:val="29"/>
        </w:rPr>
        <w:t>1.拟开课教师需填写《西安交通大学基础通识类培育课程申报书》（附件5），并编写拟开课程的教学大纲（附件6）。</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color w:val="000000"/>
          <w:kern w:val="0"/>
          <w:sz w:val="29"/>
          <w:szCs w:val="29"/>
        </w:rPr>
        <w:t>2. 申报课程需经各开课单位</w:t>
      </w:r>
      <w:r w:rsidRPr="00126D98">
        <w:rPr>
          <w:rFonts w:ascii="微软雅黑" w:eastAsia="微软雅黑" w:hAnsi="微软雅黑" w:cs="宋体" w:hint="eastAsia"/>
          <w:b/>
          <w:bCs/>
          <w:color w:val="000000"/>
          <w:kern w:val="0"/>
          <w:sz w:val="29"/>
          <w:szCs w:val="29"/>
        </w:rPr>
        <w:t>基层教学指导委员会评审并签署修改意见</w:t>
      </w:r>
      <w:r w:rsidRPr="00126D98">
        <w:rPr>
          <w:rFonts w:ascii="微软雅黑" w:eastAsia="微软雅黑" w:hAnsi="微软雅黑" w:cs="宋体" w:hint="eastAsia"/>
          <w:color w:val="000000"/>
          <w:kern w:val="0"/>
          <w:sz w:val="29"/>
          <w:szCs w:val="29"/>
        </w:rPr>
        <w:t>，学院教学院长签字盖章。</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color w:val="000000"/>
          <w:kern w:val="0"/>
          <w:sz w:val="29"/>
          <w:szCs w:val="29"/>
        </w:rPr>
        <w:t>3.教务处对学院上报的课程进行规范审核，进行课程培育，并组织专家评审和论证， 审议通过公示后开课。</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b/>
          <w:bCs/>
          <w:color w:val="000000"/>
          <w:kern w:val="0"/>
          <w:sz w:val="29"/>
          <w:szCs w:val="29"/>
        </w:rPr>
        <w:t>四、课程开设要求</w:t>
      </w:r>
    </w:p>
    <w:p w:rsidR="00126D98" w:rsidRPr="00126D98" w:rsidRDefault="00126D98" w:rsidP="00126D98">
      <w:pPr>
        <w:widowControl/>
        <w:spacing w:line="555" w:lineRule="atLeast"/>
        <w:ind w:firstLine="420"/>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color w:val="000000"/>
          <w:kern w:val="0"/>
          <w:sz w:val="29"/>
          <w:szCs w:val="29"/>
        </w:rPr>
        <w:lastRenderedPageBreak/>
        <w:t>立项课程需于2023年秋季学期前开设，</w:t>
      </w:r>
      <w:r w:rsidRPr="00126D98">
        <w:rPr>
          <w:rFonts w:ascii="微软雅黑" w:eastAsia="微软雅黑" w:hAnsi="微软雅黑" w:cs="宋体" w:hint="eastAsia"/>
          <w:b/>
          <w:bCs/>
          <w:color w:val="000000"/>
          <w:kern w:val="0"/>
          <w:sz w:val="29"/>
          <w:szCs w:val="29"/>
        </w:rPr>
        <w:t>每学期开设1次或每学年开设一次且在兴庆校区开设2个以上班次</w:t>
      </w:r>
      <w:r w:rsidRPr="00126D98">
        <w:rPr>
          <w:rFonts w:ascii="微软雅黑" w:eastAsia="微软雅黑" w:hAnsi="微软雅黑" w:cs="宋体" w:hint="eastAsia"/>
          <w:color w:val="000000"/>
          <w:kern w:val="0"/>
          <w:sz w:val="29"/>
          <w:szCs w:val="29"/>
        </w:rPr>
        <w:t>。“经典阅读”课程修读人数为30-60人/班次，其余课程修读人数为60-120人/班次。</w:t>
      </w:r>
    </w:p>
    <w:p w:rsidR="00126D98" w:rsidRPr="00126D98" w:rsidRDefault="00126D98" w:rsidP="00126D98">
      <w:pPr>
        <w:widowControl/>
        <w:spacing w:line="555" w:lineRule="atLeast"/>
        <w:ind w:firstLine="555"/>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color w:val="000000"/>
          <w:kern w:val="0"/>
          <w:sz w:val="29"/>
          <w:szCs w:val="29"/>
        </w:rPr>
        <w:t>立项课程需配合进行新增课程宣传推介，在模块内分享开课经验，拍摄说课短视频等。</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b/>
          <w:bCs/>
          <w:color w:val="000000"/>
          <w:kern w:val="0"/>
          <w:sz w:val="29"/>
          <w:szCs w:val="29"/>
        </w:rPr>
        <w:t>五、注意事项</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color w:val="000000"/>
          <w:kern w:val="0"/>
          <w:sz w:val="29"/>
          <w:szCs w:val="29"/>
        </w:rPr>
        <w:t>请各单位于2022年11月30日前将本单位的课程申报材料及汇总表（附件7），由所在单位基层教学指导委员会签署修改意见，主管教学院长签字并加盖公章，报至教务处通识教育中心，电子文档发送至</w:t>
      </w:r>
      <w:hyperlink r:id="rId6" w:history="1">
        <w:r w:rsidRPr="00126D98">
          <w:rPr>
            <w:rFonts w:ascii="微软雅黑" w:eastAsia="微软雅黑" w:hAnsi="微软雅黑" w:cs="宋体" w:hint="eastAsia"/>
            <w:color w:val="000000"/>
            <w:kern w:val="0"/>
            <w:sz w:val="29"/>
            <w:szCs w:val="29"/>
            <w:u w:val="single"/>
          </w:rPr>
          <w:t>yangcheng817@xjtu.edu.cn</w:t>
        </w:r>
      </w:hyperlink>
      <w:r w:rsidRPr="00126D98">
        <w:rPr>
          <w:rFonts w:ascii="微软雅黑" w:eastAsia="微软雅黑" w:hAnsi="微软雅黑" w:cs="宋体" w:hint="eastAsia"/>
          <w:color w:val="000000"/>
          <w:kern w:val="0"/>
          <w:sz w:val="29"/>
          <w:szCs w:val="29"/>
        </w:rPr>
        <w:t>。申报课程答辩安排另行通知。</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color w:val="000000"/>
          <w:kern w:val="0"/>
          <w:sz w:val="29"/>
          <w:szCs w:val="29"/>
        </w:rPr>
        <w:t> 联系人：杨程 联系电话：82668311</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color w:val="000000"/>
          <w:kern w:val="0"/>
          <w:sz w:val="29"/>
          <w:szCs w:val="29"/>
        </w:rPr>
        <w:t> 附件：</w:t>
      </w:r>
      <w:r w:rsidRPr="00126D98">
        <w:rPr>
          <w:rFonts w:ascii="微软雅黑" w:eastAsia="微软雅黑" w:hAnsi="微软雅黑" w:cs="宋体" w:hint="eastAsia"/>
          <w:color w:val="000000"/>
          <w:kern w:val="0"/>
          <w:sz w:val="18"/>
          <w:szCs w:val="18"/>
        </w:rPr>
        <w:t> </w:t>
      </w:r>
      <w:r w:rsidRPr="00126D98">
        <w:rPr>
          <w:rFonts w:ascii="微软雅黑" w:eastAsia="微软雅黑" w:hAnsi="微软雅黑" w:cs="宋体" w:hint="eastAsia"/>
          <w:color w:val="000000"/>
          <w:kern w:val="0"/>
          <w:sz w:val="29"/>
          <w:szCs w:val="29"/>
        </w:rPr>
        <w:t>1.西安交通大学基础通识类课程建设方案</w:t>
      </w:r>
    </w:p>
    <w:p w:rsidR="00126D98" w:rsidRPr="00126D98" w:rsidRDefault="00126D98" w:rsidP="00126D98">
      <w:pPr>
        <w:widowControl/>
        <w:spacing w:line="555" w:lineRule="atLeast"/>
        <w:ind w:firstLineChars="500" w:firstLine="1450"/>
        <w:jc w:val="lef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color w:val="000000"/>
          <w:kern w:val="0"/>
          <w:sz w:val="29"/>
          <w:szCs w:val="29"/>
        </w:rPr>
        <w:t>2.基础通识类核心课立项招标课程参考主题</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29"/>
          <w:szCs w:val="29"/>
        </w:rPr>
        <w:t>         </w:t>
      </w:r>
      <w:r w:rsidRPr="00126D98">
        <w:rPr>
          <w:rFonts w:ascii="微软雅黑" w:eastAsia="微软雅黑" w:hAnsi="微软雅黑" w:cs="宋体" w:hint="eastAsia"/>
          <w:color w:val="000000"/>
          <w:kern w:val="0"/>
          <w:sz w:val="29"/>
          <w:szCs w:val="29"/>
        </w:rPr>
        <w:t>3.经典阅读课程参考书目（可扩展）</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29"/>
          <w:szCs w:val="29"/>
        </w:rPr>
        <w:t>         </w:t>
      </w:r>
      <w:r w:rsidRPr="00126D98">
        <w:rPr>
          <w:rFonts w:ascii="微软雅黑" w:eastAsia="微软雅黑" w:hAnsi="微软雅黑" w:cs="宋体" w:hint="eastAsia"/>
          <w:color w:val="000000"/>
          <w:kern w:val="0"/>
          <w:sz w:val="29"/>
          <w:szCs w:val="29"/>
        </w:rPr>
        <w:t>4.基础通识类课程信息及统计表</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29"/>
          <w:szCs w:val="29"/>
        </w:rPr>
        <w:t>         </w:t>
      </w:r>
      <w:r w:rsidRPr="00126D98">
        <w:rPr>
          <w:rFonts w:ascii="微软雅黑" w:eastAsia="微软雅黑" w:hAnsi="微软雅黑" w:cs="宋体" w:hint="eastAsia"/>
          <w:color w:val="000000"/>
          <w:kern w:val="0"/>
          <w:sz w:val="29"/>
          <w:szCs w:val="29"/>
        </w:rPr>
        <w:t>5.基础通识类培育课程申报书</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29"/>
          <w:szCs w:val="29"/>
        </w:rPr>
        <w:t>         </w:t>
      </w:r>
      <w:r w:rsidRPr="00126D98">
        <w:rPr>
          <w:rFonts w:ascii="微软雅黑" w:eastAsia="微软雅黑" w:hAnsi="微软雅黑" w:cs="宋体" w:hint="eastAsia"/>
          <w:color w:val="000000"/>
          <w:kern w:val="0"/>
          <w:sz w:val="29"/>
          <w:szCs w:val="29"/>
        </w:rPr>
        <w:t>6.课程教学大纲模板</w:t>
      </w:r>
    </w:p>
    <w:p w:rsidR="00126D98" w:rsidRPr="00126D98" w:rsidRDefault="00126D98" w:rsidP="00126D98">
      <w:pPr>
        <w:widowControl/>
        <w:spacing w:line="555" w:lineRule="atLeast"/>
        <w:ind w:firstLine="480"/>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29"/>
          <w:szCs w:val="29"/>
        </w:rPr>
        <w:t>         </w:t>
      </w:r>
      <w:r w:rsidRPr="00126D98">
        <w:rPr>
          <w:rFonts w:ascii="微软雅黑" w:eastAsia="微软雅黑" w:hAnsi="微软雅黑" w:cs="宋体" w:hint="eastAsia"/>
          <w:color w:val="000000"/>
          <w:kern w:val="0"/>
          <w:sz w:val="29"/>
          <w:szCs w:val="29"/>
        </w:rPr>
        <w:t>7.基础通识类课程申报汇总表</w:t>
      </w:r>
      <w:bookmarkStart w:id="0" w:name="_GoBack"/>
      <w:bookmarkEnd w:id="0"/>
    </w:p>
    <w:p w:rsidR="00126D98" w:rsidRPr="00126D98" w:rsidRDefault="00126D98" w:rsidP="000E428E">
      <w:pPr>
        <w:widowControl/>
        <w:spacing w:line="555" w:lineRule="atLeast"/>
        <w:ind w:right="845" w:firstLine="480"/>
        <w:jc w:val="righ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color w:val="000000"/>
          <w:kern w:val="0"/>
          <w:sz w:val="29"/>
          <w:szCs w:val="29"/>
        </w:rPr>
        <w:t>教务处</w:t>
      </w:r>
    </w:p>
    <w:p w:rsidR="00074B02" w:rsidRPr="00126D98" w:rsidRDefault="00126D98" w:rsidP="00126D98">
      <w:pPr>
        <w:widowControl/>
        <w:spacing w:line="555" w:lineRule="atLeast"/>
        <w:jc w:val="right"/>
        <w:rPr>
          <w:rFonts w:ascii="微软雅黑" w:eastAsia="微软雅黑" w:hAnsi="微软雅黑" w:cs="宋体" w:hint="eastAsia"/>
          <w:color w:val="000000"/>
          <w:kern w:val="0"/>
          <w:sz w:val="18"/>
          <w:szCs w:val="18"/>
        </w:rPr>
      </w:pPr>
      <w:r w:rsidRPr="00126D98">
        <w:rPr>
          <w:rFonts w:ascii="微软雅黑" w:eastAsia="微软雅黑" w:hAnsi="微软雅黑" w:cs="宋体" w:hint="eastAsia"/>
          <w:color w:val="000000"/>
          <w:kern w:val="0"/>
          <w:sz w:val="29"/>
          <w:szCs w:val="29"/>
        </w:rPr>
        <w:t>2022年11月17日</w:t>
      </w:r>
    </w:p>
    <w:sectPr w:rsidR="00074B02" w:rsidRPr="00126D98" w:rsidSect="00126D98">
      <w:pgSz w:w="11906" w:h="16838"/>
      <w:pgMar w:top="851"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F2D" w:rsidRDefault="00626F2D" w:rsidP="00126D98">
      <w:r>
        <w:separator/>
      </w:r>
    </w:p>
  </w:endnote>
  <w:endnote w:type="continuationSeparator" w:id="0">
    <w:p w:rsidR="00626F2D" w:rsidRDefault="00626F2D" w:rsidP="0012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F2D" w:rsidRDefault="00626F2D" w:rsidP="00126D98">
      <w:r>
        <w:separator/>
      </w:r>
    </w:p>
  </w:footnote>
  <w:footnote w:type="continuationSeparator" w:id="0">
    <w:p w:rsidR="00626F2D" w:rsidRDefault="00626F2D" w:rsidP="00126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90"/>
    <w:rsid w:val="000E428E"/>
    <w:rsid w:val="00126D98"/>
    <w:rsid w:val="00542908"/>
    <w:rsid w:val="00626F2D"/>
    <w:rsid w:val="008000C0"/>
    <w:rsid w:val="009C0A13"/>
    <w:rsid w:val="00D42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E108E"/>
  <w15:chartTrackingRefBased/>
  <w15:docId w15:val="{2B57CFED-59D1-4F1F-ACA2-704B7A75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6D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6D98"/>
    <w:rPr>
      <w:sz w:val="18"/>
      <w:szCs w:val="18"/>
    </w:rPr>
  </w:style>
  <w:style w:type="paragraph" w:styleId="a5">
    <w:name w:val="footer"/>
    <w:basedOn w:val="a"/>
    <w:link w:val="a6"/>
    <w:uiPriority w:val="99"/>
    <w:unhideWhenUsed/>
    <w:rsid w:val="00126D98"/>
    <w:pPr>
      <w:tabs>
        <w:tab w:val="center" w:pos="4153"/>
        <w:tab w:val="right" w:pos="8306"/>
      </w:tabs>
      <w:snapToGrid w:val="0"/>
      <w:jc w:val="left"/>
    </w:pPr>
    <w:rPr>
      <w:sz w:val="18"/>
      <w:szCs w:val="18"/>
    </w:rPr>
  </w:style>
  <w:style w:type="character" w:customStyle="1" w:styleId="a6">
    <w:name w:val="页脚 字符"/>
    <w:basedOn w:val="a0"/>
    <w:link w:val="a5"/>
    <w:uiPriority w:val="99"/>
    <w:rsid w:val="00126D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513550">
      <w:bodyDiv w:val="1"/>
      <w:marLeft w:val="0"/>
      <w:marRight w:val="0"/>
      <w:marTop w:val="0"/>
      <w:marBottom w:val="0"/>
      <w:divBdr>
        <w:top w:val="none" w:sz="0" w:space="0" w:color="auto"/>
        <w:left w:val="none" w:sz="0" w:space="0" w:color="auto"/>
        <w:bottom w:val="none" w:sz="0" w:space="0" w:color="auto"/>
        <w:right w:val="none" w:sz="0" w:space="0" w:color="auto"/>
      </w:divBdr>
      <w:divsChild>
        <w:div w:id="157575884">
          <w:marLeft w:val="0"/>
          <w:marRight w:val="0"/>
          <w:marTop w:val="0"/>
          <w:marBottom w:val="0"/>
          <w:divBdr>
            <w:top w:val="none" w:sz="0" w:space="0" w:color="auto"/>
            <w:left w:val="none" w:sz="0" w:space="0" w:color="auto"/>
            <w:bottom w:val="none" w:sz="0" w:space="0" w:color="auto"/>
            <w:right w:val="none" w:sz="0" w:space="0" w:color="auto"/>
          </w:divBdr>
        </w:div>
        <w:div w:id="975837966">
          <w:marLeft w:val="0"/>
          <w:marRight w:val="0"/>
          <w:marTop w:val="0"/>
          <w:marBottom w:val="0"/>
          <w:divBdr>
            <w:top w:val="none" w:sz="0" w:space="0" w:color="auto"/>
            <w:left w:val="none" w:sz="0" w:space="0" w:color="auto"/>
            <w:bottom w:val="none" w:sz="0" w:space="0" w:color="auto"/>
            <w:right w:val="none" w:sz="0" w:space="0" w:color="auto"/>
          </w:divBdr>
          <w:divsChild>
            <w:div w:id="7903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ngcheng817@xjt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223</Words>
  <Characters>1277</Characters>
  <Application>Microsoft Office Word</Application>
  <DocSecurity>0</DocSecurity>
  <Lines>10</Lines>
  <Paragraphs>2</Paragraphs>
  <ScaleCrop>false</ScaleCrop>
  <Company>Microsoft</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2022-11-21T09:03:00Z</dcterms:created>
  <dcterms:modified xsi:type="dcterms:W3CDTF">2022-11-21T09:05:00Z</dcterms:modified>
</cp:coreProperties>
</file>