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3" w:lineRule="auto"/>
        <w:jc w:val="center"/>
        <w:rPr>
          <w:rFonts w:eastAsia="黑体"/>
          <w:sz w:val="32"/>
          <w:szCs w:val="32"/>
        </w:rPr>
      </w:pPr>
      <w:bookmarkStart w:id="590" w:name="_GoBack"/>
      <w:bookmarkEnd w:id="590"/>
      <w:r>
        <w:rPr>
          <w:rFonts w:hint="eastAsia" w:eastAsia="黑体"/>
          <w:sz w:val="32"/>
          <w:szCs w:val="32"/>
        </w:rPr>
        <w:drawing>
          <wp:anchor distT="0" distB="0" distL="114300" distR="114300" simplePos="0" relativeHeight="251659264" behindDoc="0" locked="0" layoutInCell="1" allowOverlap="1">
            <wp:simplePos x="0" y="0"/>
            <wp:positionH relativeFrom="margin">
              <wp:align>center</wp:align>
            </wp:positionH>
            <wp:positionV relativeFrom="paragraph">
              <wp:posOffset>99695</wp:posOffset>
            </wp:positionV>
            <wp:extent cx="3200400" cy="792480"/>
            <wp:effectExtent l="0" t="0" r="0" b="0"/>
            <wp:wrapSquare wrapText="bothSides"/>
            <wp:docPr id="11" name="图片 11" descr="txj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txjtu"/>
                    <pic:cNvPicPr>
                      <a:picLocks noChangeAspect="1" noChangeArrowheads="1"/>
                    </pic:cNvPicPr>
                  </pic:nvPicPr>
                  <pic:blipFill>
                    <a:blip r:embed="rId12">
                      <a:lum bright="-100000" contrast="-100000"/>
                      <a:extLst>
                        <a:ext uri="{28A0092B-C50C-407E-A947-70E740481C1C}">
                          <a14:useLocalDpi xmlns:a14="http://schemas.microsoft.com/office/drawing/2010/main" val="0"/>
                        </a:ext>
                      </a:extLst>
                    </a:blip>
                    <a:srcRect/>
                    <a:stretch>
                      <a:fillRect/>
                    </a:stretch>
                  </pic:blipFill>
                  <pic:spPr>
                    <a:xfrm>
                      <a:off x="0" y="0"/>
                      <a:ext cx="3200400" cy="792480"/>
                    </a:xfrm>
                    <a:prstGeom prst="rect">
                      <a:avLst/>
                    </a:prstGeom>
                    <a:noFill/>
                    <a:ln>
                      <a:noFill/>
                    </a:ln>
                  </pic:spPr>
                </pic:pic>
              </a:graphicData>
            </a:graphic>
          </wp:anchor>
        </w:drawing>
      </w:r>
      <w:r>
        <w:rPr>
          <w:rFonts w:hint="eastAsia" w:asciiTheme="minorEastAsia" w:hAnsiTheme="minorEastAsia"/>
          <w:b/>
          <w:sz w:val="56"/>
          <w:szCs w:val="72"/>
        </w:rPr>
        <w:t xml:space="preserve"> </w:t>
      </w:r>
    </w:p>
    <w:p>
      <w:pPr>
        <w:spacing w:line="283" w:lineRule="auto"/>
        <w:jc w:val="center"/>
        <w:rPr>
          <w:rFonts w:eastAsia="黑体"/>
          <w:sz w:val="32"/>
          <w:szCs w:val="32"/>
        </w:rPr>
      </w:pPr>
    </w:p>
    <w:p>
      <w:pPr>
        <w:spacing w:line="283" w:lineRule="auto"/>
        <w:jc w:val="center"/>
        <w:rPr>
          <w:rFonts w:eastAsia="黑体"/>
          <w:sz w:val="32"/>
          <w:szCs w:val="32"/>
        </w:rPr>
      </w:pPr>
    </w:p>
    <w:p>
      <w:pPr>
        <w:spacing w:line="283" w:lineRule="auto"/>
        <w:jc w:val="center"/>
        <w:rPr>
          <w:rFonts w:eastAsia="黑体"/>
          <w:sz w:val="32"/>
          <w:szCs w:val="32"/>
        </w:rPr>
      </w:pPr>
    </w:p>
    <w:p>
      <w:pPr>
        <w:jc w:val="center"/>
        <w:rPr>
          <w:rFonts w:ascii="黑体" w:eastAsia="黑体"/>
          <w:sz w:val="84"/>
          <w:szCs w:val="84"/>
        </w:rPr>
      </w:pPr>
      <w:r>
        <w:rPr>
          <w:rFonts w:hint="eastAsia" w:ascii="黑体" w:eastAsia="黑体"/>
          <w:sz w:val="84"/>
          <w:szCs w:val="84"/>
        </w:rPr>
        <w:t>研究生培养</w:t>
      </w:r>
    </w:p>
    <w:p/>
    <w:p>
      <w:pPr>
        <w:jc w:val="center"/>
      </w:pPr>
    </w:p>
    <w:p>
      <w:pPr>
        <w:jc w:val="center"/>
      </w:pPr>
    </w:p>
    <w:p>
      <w:pPr>
        <w:jc w:val="center"/>
      </w:pPr>
    </w:p>
    <w:p>
      <w:pPr>
        <w:jc w:val="center"/>
        <w:rPr>
          <w:rFonts w:eastAsia="黑体"/>
          <w:sz w:val="36"/>
          <w:szCs w:val="36"/>
        </w:rPr>
      </w:pPr>
      <w:r>
        <w:rPr>
          <w:rFonts w:eastAsia="黑体"/>
          <w:sz w:val="36"/>
          <w:szCs w:val="36"/>
        </w:rPr>
        <w:t>二O</w:t>
      </w:r>
      <w:r>
        <w:rPr>
          <w:rFonts w:hint="eastAsia" w:eastAsia="黑体"/>
          <w:sz w:val="36"/>
          <w:szCs w:val="36"/>
        </w:rPr>
        <w:t>二二年</w:t>
      </w:r>
    </w:p>
    <w:p>
      <w:pPr>
        <w:spacing w:before="240" w:beforeLines="100"/>
        <w:jc w:val="center"/>
        <w:rPr>
          <w:rFonts w:eastAsia="黑体"/>
          <w:sz w:val="36"/>
          <w:szCs w:val="36"/>
        </w:rPr>
      </w:pPr>
      <w:r>
        <w:rPr>
          <w:rFonts w:hint="eastAsia" w:eastAsia="黑体"/>
          <w:sz w:val="36"/>
          <w:szCs w:val="36"/>
        </w:rPr>
        <w:t>医学分册</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hint="eastAsia"/>
        </w:rPr>
        <w:drawing>
          <wp:inline distT="0" distB="0" distL="0" distR="0">
            <wp:extent cx="1530985" cy="1530985"/>
            <wp:effectExtent l="0" t="0" r="0" b="0"/>
            <wp:docPr id="12" name="图片 1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530985" cy="1530985"/>
                    </a:xfrm>
                    <a:prstGeom prst="rect">
                      <a:avLst/>
                    </a:prstGeom>
                    <a:noFill/>
                    <a:ln>
                      <a:noFill/>
                    </a:ln>
                  </pic:spPr>
                </pic:pic>
              </a:graphicData>
            </a:graphic>
          </wp:inline>
        </w:drawing>
      </w:r>
    </w:p>
    <w:p/>
    <w:p/>
    <w:p/>
    <w:p/>
    <w:p/>
    <w:p/>
    <w:p/>
    <w:p/>
    <w:p>
      <w:pPr>
        <w:jc w:val="center"/>
        <w:rPr>
          <w:rFonts w:ascii="黑体" w:eastAsia="黑体"/>
          <w:sz w:val="36"/>
          <w:szCs w:val="36"/>
        </w:rPr>
      </w:pPr>
      <w:r>
        <w:rPr>
          <w:rFonts w:hint="eastAsia" w:ascii="黑体" w:eastAsia="黑体"/>
          <w:sz w:val="36"/>
          <w:szCs w:val="36"/>
        </w:rPr>
        <w:t>研究生院</w:t>
      </w:r>
    </w:p>
    <w:p>
      <w:pPr>
        <w:spacing w:line="283" w:lineRule="auto"/>
        <w:jc w:val="center"/>
        <w:rPr>
          <w:rFonts w:eastAsia="黑体"/>
          <w:sz w:val="36"/>
          <w:szCs w:val="36"/>
        </w:rPr>
      </w:pPr>
      <w:r>
        <w:rPr>
          <w:rFonts w:eastAsia="黑体"/>
          <w:sz w:val="36"/>
          <w:szCs w:val="36"/>
        </w:rPr>
        <w:t>二</w:t>
      </w:r>
      <w:r>
        <w:rPr>
          <w:rFonts w:hint="eastAsia" w:ascii="楷体" w:hAnsi="楷体" w:eastAsia="楷体"/>
          <w:b/>
          <w:bCs/>
          <w:sz w:val="36"/>
          <w:szCs w:val="36"/>
        </w:rPr>
        <w:t>○</w:t>
      </w:r>
      <w:r>
        <w:rPr>
          <w:rFonts w:hint="eastAsia" w:eastAsia="黑体"/>
          <w:sz w:val="36"/>
          <w:szCs w:val="36"/>
        </w:rPr>
        <w:t>二二年七</w:t>
      </w:r>
      <w:r>
        <w:rPr>
          <w:rFonts w:eastAsia="黑体"/>
          <w:sz w:val="36"/>
          <w:szCs w:val="36"/>
        </w:rPr>
        <w:t>月</w:t>
      </w:r>
    </w:p>
    <w:p>
      <w:pPr>
        <w:spacing w:line="283" w:lineRule="auto"/>
        <w:jc w:val="center"/>
        <w:rPr>
          <w:rFonts w:eastAsia="黑体"/>
          <w:sz w:val="36"/>
          <w:szCs w:val="36"/>
        </w:rPr>
      </w:pPr>
    </w:p>
    <w:p>
      <w:pPr>
        <w:spacing w:line="283" w:lineRule="auto"/>
        <w:jc w:val="center"/>
        <w:rPr>
          <w:rFonts w:eastAsia="黑体"/>
          <w:sz w:val="36"/>
          <w:szCs w:val="36"/>
        </w:rPr>
      </w:pPr>
    </w:p>
    <w:sdt>
      <w:sdtPr>
        <w:rPr>
          <w:rStyle w:val="46"/>
          <w:rFonts w:ascii="Times New Roman" w:hAnsi="Times New Roman" w:eastAsia="隶书"/>
        </w:rPr>
        <w:id w:val="145639253"/>
        <w:docPartObj>
          <w:docPartGallery w:val="Table of Contents"/>
          <w:docPartUnique/>
        </w:docPartObj>
      </w:sdtPr>
      <w:sdtEndPr>
        <w:rPr>
          <w:rStyle w:val="39"/>
          <w:rFonts w:hint="eastAsia" w:ascii="宋体" w:hAnsi="宋体" w:eastAsia="宋体" w:cs="宋体"/>
          <w:b w:val="0"/>
          <w:bCs w:val="0"/>
          <w:color w:val="auto"/>
          <w:sz w:val="30"/>
          <w:szCs w:val="30"/>
          <w:u w:val="none"/>
          <w:lang w:val="zh-CN"/>
        </w:rPr>
      </w:sdtEndPr>
      <w:sdtContent>
        <w:p>
          <w:pPr>
            <w:spacing w:after="240" w:afterLines="100" w:line="283" w:lineRule="auto"/>
            <w:jc w:val="center"/>
            <w:rPr>
              <w:rFonts w:hint="eastAsia" w:ascii="黑体" w:hAnsi="黑体" w:eastAsia="黑体" w:cs="黑体"/>
              <w:sz w:val="44"/>
              <w:szCs w:val="44"/>
            </w:rPr>
          </w:pPr>
          <w:r>
            <w:rPr>
              <w:rFonts w:hint="eastAsia" w:ascii="黑体" w:hAnsi="黑体" w:eastAsia="黑体" w:cs="黑体"/>
              <w:sz w:val="44"/>
              <w:szCs w:val="44"/>
            </w:rPr>
            <w:t>目  录</w:t>
          </w:r>
        </w:p>
        <w:p>
          <w:pPr>
            <w:pStyle w:val="26"/>
            <w:spacing w:beforeLines="0" w:afterLines="0"/>
            <w:ind w:firstLine="300" w:firstLineChars="100"/>
            <w:jc w:val="left"/>
            <w:rPr>
              <w:rFonts w:hint="eastAsia" w:ascii="宋体" w:hAnsi="宋体" w:eastAsia="宋体" w:cs="宋体"/>
              <w:b w:val="0"/>
              <w:bCs w:val="0"/>
              <w:sz w:val="30"/>
              <w:szCs w:val="30"/>
            </w:rPr>
          </w:pP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TOC \o "1-3" \h \z \u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"_Toc110427510" </w:instrText>
          </w:r>
          <w:r>
            <w:rPr>
              <w:rFonts w:hint="eastAsia" w:ascii="宋体" w:hAnsi="宋体" w:eastAsia="宋体" w:cs="宋体"/>
              <w:b w:val="0"/>
              <w:bCs w:val="0"/>
            </w:rPr>
            <w:fldChar w:fldCharType="separate"/>
          </w:r>
          <w:r>
            <w:rPr>
              <w:rStyle w:val="46"/>
              <w:rFonts w:hint="eastAsia" w:ascii="宋体" w:hAnsi="宋体" w:eastAsia="宋体" w:cs="宋体"/>
              <w:b w:val="0"/>
              <w:bCs w:val="0"/>
              <w:sz w:val="30"/>
              <w:szCs w:val="30"/>
            </w:rPr>
            <w:t>研究生培养环节及学分要求</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_Toc110427510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5</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pPr>
            <w:pStyle w:val="31"/>
            <w:tabs>
              <w:tab w:val="right" w:leader="dot" w:pos="8834"/>
            </w:tabs>
            <w:spacing w:line="360" w:lineRule="auto"/>
            <w:jc w:val="left"/>
            <w:rPr>
              <w:rFonts w:hint="eastAsia" w:ascii="宋体" w:hAnsi="宋体" w:eastAsia="宋体" w:cs="宋体"/>
              <w:b w:val="0"/>
              <w:bCs w:val="0"/>
              <w:sz w:val="30"/>
              <w:szCs w:val="3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"_Toc110427515" </w:instrText>
          </w:r>
          <w:r>
            <w:rPr>
              <w:rFonts w:hint="eastAsia" w:ascii="宋体" w:hAnsi="宋体" w:eastAsia="宋体" w:cs="宋体"/>
              <w:b w:val="0"/>
              <w:bCs w:val="0"/>
            </w:rPr>
            <w:fldChar w:fldCharType="separate"/>
          </w:r>
          <w:r>
            <w:rPr>
              <w:rStyle w:val="46"/>
              <w:rFonts w:hint="eastAsia" w:ascii="宋体" w:hAnsi="宋体" w:eastAsia="宋体" w:cs="宋体"/>
              <w:b w:val="0"/>
              <w:bCs w:val="0"/>
              <w:sz w:val="30"/>
              <w:szCs w:val="30"/>
            </w:rPr>
            <w:t>（一）博士研究生培养方案</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_Toc110427515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8</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pPr>
            <w:pStyle w:val="31"/>
            <w:tabs>
              <w:tab w:val="right" w:leader="dot" w:pos="8834"/>
            </w:tabs>
            <w:spacing w:line="360" w:lineRule="auto"/>
            <w:jc w:val="left"/>
            <w:rPr>
              <w:rFonts w:hint="eastAsia" w:ascii="宋体" w:hAnsi="宋体" w:eastAsia="宋体" w:cs="宋体"/>
              <w:b w:val="0"/>
              <w:bCs w:val="0"/>
              <w:sz w:val="30"/>
              <w:szCs w:val="3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"_Toc110427516" </w:instrText>
          </w:r>
          <w:r>
            <w:rPr>
              <w:rFonts w:hint="eastAsia" w:ascii="宋体" w:hAnsi="宋体" w:eastAsia="宋体" w:cs="宋体"/>
              <w:b w:val="0"/>
              <w:bCs w:val="0"/>
            </w:rPr>
            <w:fldChar w:fldCharType="separate"/>
          </w:r>
          <w:r>
            <w:rPr>
              <w:rStyle w:val="46"/>
              <w:rFonts w:hint="eastAsia" w:ascii="宋体" w:hAnsi="宋体" w:eastAsia="宋体" w:cs="宋体"/>
              <w:b w:val="0"/>
              <w:bCs w:val="0"/>
              <w:sz w:val="30"/>
              <w:szCs w:val="30"/>
            </w:rPr>
            <w:t>（二）硕博贯通研究生培养方案</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_Toc110427516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33</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pPr>
            <w:pStyle w:val="31"/>
            <w:tabs>
              <w:tab w:val="right" w:leader="dot" w:pos="8834"/>
            </w:tabs>
            <w:spacing w:line="360" w:lineRule="auto"/>
            <w:jc w:val="left"/>
            <w:rPr>
              <w:rFonts w:hint="eastAsia" w:ascii="宋体" w:hAnsi="宋体" w:eastAsia="宋体" w:cs="宋体"/>
              <w:b w:val="0"/>
              <w:bCs w:val="0"/>
              <w:sz w:val="30"/>
              <w:szCs w:val="3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"_Toc110427517" </w:instrText>
          </w:r>
          <w:r>
            <w:rPr>
              <w:rFonts w:hint="eastAsia" w:ascii="宋体" w:hAnsi="宋体" w:eastAsia="宋体" w:cs="宋体"/>
              <w:b w:val="0"/>
              <w:bCs w:val="0"/>
            </w:rPr>
            <w:fldChar w:fldCharType="separate"/>
          </w:r>
          <w:r>
            <w:rPr>
              <w:rStyle w:val="46"/>
              <w:rFonts w:hint="eastAsia" w:ascii="宋体" w:hAnsi="宋体" w:eastAsia="宋体" w:cs="宋体"/>
              <w:b w:val="0"/>
              <w:bCs w:val="0"/>
              <w:sz w:val="30"/>
              <w:szCs w:val="30"/>
            </w:rPr>
            <w:t>（三）硕士研究生培养方案</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_Toc110427517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64</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pPr>
            <w:pStyle w:val="31"/>
            <w:tabs>
              <w:tab w:val="right" w:leader="dot" w:pos="8834"/>
            </w:tabs>
            <w:spacing w:line="360" w:lineRule="auto"/>
            <w:jc w:val="left"/>
            <w:rPr>
              <w:rFonts w:hint="eastAsia" w:ascii="宋体" w:hAnsi="宋体" w:eastAsia="宋体" w:cs="宋体"/>
              <w:b w:val="0"/>
              <w:bCs w:val="0"/>
              <w:sz w:val="30"/>
              <w:szCs w:val="3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"_Toc110427519" </w:instrText>
          </w:r>
          <w:r>
            <w:rPr>
              <w:rFonts w:hint="eastAsia" w:ascii="宋体" w:hAnsi="宋体" w:eastAsia="宋体" w:cs="宋体"/>
              <w:b w:val="0"/>
              <w:bCs w:val="0"/>
            </w:rPr>
            <w:fldChar w:fldCharType="separate"/>
          </w:r>
          <w:r>
            <w:rPr>
              <w:rStyle w:val="46"/>
              <w:rFonts w:hint="eastAsia" w:ascii="宋体" w:hAnsi="宋体" w:eastAsia="宋体" w:cs="宋体"/>
              <w:b w:val="0"/>
              <w:bCs w:val="0"/>
              <w:sz w:val="30"/>
              <w:szCs w:val="30"/>
            </w:rPr>
            <w:t>（四）临床医学博士（1051）专业学位研究生培养方案</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_Toc110427519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67</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pPr>
            <w:pStyle w:val="31"/>
            <w:tabs>
              <w:tab w:val="right" w:leader="dot" w:pos="8834"/>
            </w:tabs>
            <w:spacing w:line="360" w:lineRule="auto"/>
            <w:jc w:val="left"/>
            <w:rPr>
              <w:rFonts w:hint="eastAsia" w:ascii="宋体" w:hAnsi="宋体" w:eastAsia="宋体" w:cs="宋体"/>
              <w:b w:val="0"/>
              <w:bCs w:val="0"/>
              <w:sz w:val="30"/>
              <w:szCs w:val="3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"_Toc110427520" </w:instrText>
          </w:r>
          <w:r>
            <w:rPr>
              <w:rFonts w:hint="eastAsia" w:ascii="宋体" w:hAnsi="宋体" w:eastAsia="宋体" w:cs="宋体"/>
              <w:b w:val="0"/>
              <w:bCs w:val="0"/>
            </w:rPr>
            <w:fldChar w:fldCharType="separate"/>
          </w:r>
          <w:r>
            <w:rPr>
              <w:rStyle w:val="46"/>
              <w:rFonts w:hint="eastAsia" w:ascii="宋体" w:hAnsi="宋体" w:eastAsia="宋体" w:cs="宋体"/>
              <w:b w:val="0"/>
              <w:bCs w:val="0"/>
              <w:sz w:val="30"/>
              <w:szCs w:val="30"/>
            </w:rPr>
            <w:t>（五）口腔医学博士（1052）专业学位研究生培养方案</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_Toc110427520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72</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pPr>
            <w:pStyle w:val="31"/>
            <w:tabs>
              <w:tab w:val="right" w:leader="dot" w:pos="8834"/>
            </w:tabs>
            <w:spacing w:line="360" w:lineRule="auto"/>
            <w:jc w:val="left"/>
            <w:rPr>
              <w:rFonts w:hint="eastAsia" w:ascii="宋体" w:hAnsi="宋体" w:eastAsia="宋体" w:cs="宋体"/>
              <w:b w:val="0"/>
              <w:bCs w:val="0"/>
              <w:sz w:val="30"/>
              <w:szCs w:val="3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"_Toc110427521" </w:instrText>
          </w:r>
          <w:r>
            <w:rPr>
              <w:rFonts w:hint="eastAsia" w:ascii="宋体" w:hAnsi="宋体" w:eastAsia="宋体" w:cs="宋体"/>
              <w:b w:val="0"/>
              <w:bCs w:val="0"/>
            </w:rPr>
            <w:fldChar w:fldCharType="separate"/>
          </w:r>
          <w:r>
            <w:rPr>
              <w:rStyle w:val="46"/>
              <w:rFonts w:hint="eastAsia" w:ascii="宋体" w:hAnsi="宋体" w:eastAsia="宋体" w:cs="宋体"/>
              <w:b w:val="0"/>
              <w:bCs w:val="0"/>
              <w:sz w:val="30"/>
              <w:szCs w:val="30"/>
            </w:rPr>
            <w:t>（六）临床医学硕士（1051）培养方案</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_Toc110427521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76</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pPr>
            <w:pStyle w:val="31"/>
            <w:tabs>
              <w:tab w:val="right" w:leader="dot" w:pos="8834"/>
            </w:tabs>
            <w:spacing w:line="360" w:lineRule="auto"/>
            <w:jc w:val="left"/>
            <w:rPr>
              <w:rFonts w:hint="eastAsia" w:ascii="宋体" w:hAnsi="宋体" w:eastAsia="宋体" w:cs="宋体"/>
              <w:b w:val="0"/>
              <w:bCs w:val="0"/>
              <w:sz w:val="30"/>
              <w:szCs w:val="3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"_Toc110427522" </w:instrText>
          </w:r>
          <w:r>
            <w:rPr>
              <w:rFonts w:hint="eastAsia" w:ascii="宋体" w:hAnsi="宋体" w:eastAsia="宋体" w:cs="宋体"/>
              <w:b w:val="0"/>
              <w:bCs w:val="0"/>
            </w:rPr>
            <w:fldChar w:fldCharType="separate"/>
          </w:r>
          <w:r>
            <w:rPr>
              <w:rStyle w:val="46"/>
              <w:rFonts w:hint="eastAsia" w:ascii="宋体" w:hAnsi="宋体" w:eastAsia="宋体" w:cs="宋体"/>
              <w:b w:val="0"/>
              <w:bCs w:val="0"/>
              <w:sz w:val="30"/>
              <w:szCs w:val="30"/>
            </w:rPr>
            <w:t>（七）口腔医学硕士（1052）培养方案</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_Toc110427522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80</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pPr>
            <w:pStyle w:val="31"/>
            <w:tabs>
              <w:tab w:val="right" w:leader="dot" w:pos="8834"/>
            </w:tabs>
            <w:spacing w:line="360" w:lineRule="auto"/>
            <w:jc w:val="left"/>
            <w:rPr>
              <w:rFonts w:hint="eastAsia" w:ascii="宋体" w:hAnsi="宋体" w:eastAsia="宋体" w:cs="宋体"/>
              <w:b w:val="0"/>
              <w:bCs w:val="0"/>
              <w:sz w:val="30"/>
              <w:szCs w:val="3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"_Toc110427523" </w:instrText>
          </w:r>
          <w:r>
            <w:rPr>
              <w:rFonts w:hint="eastAsia" w:ascii="宋体" w:hAnsi="宋体" w:eastAsia="宋体" w:cs="宋体"/>
              <w:b w:val="0"/>
              <w:bCs w:val="0"/>
            </w:rPr>
            <w:fldChar w:fldCharType="separate"/>
          </w:r>
          <w:r>
            <w:rPr>
              <w:rStyle w:val="46"/>
              <w:rFonts w:hint="eastAsia" w:ascii="宋体" w:hAnsi="宋体" w:eastAsia="宋体" w:cs="宋体"/>
              <w:b w:val="0"/>
              <w:bCs w:val="0"/>
              <w:sz w:val="30"/>
              <w:szCs w:val="30"/>
            </w:rPr>
            <w:t>（八）公共卫生硕士（1053）培养方案</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_Toc110427523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83</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pPr>
            <w:pStyle w:val="31"/>
            <w:tabs>
              <w:tab w:val="right" w:leader="dot" w:pos="8834"/>
            </w:tabs>
            <w:spacing w:line="360" w:lineRule="auto"/>
            <w:jc w:val="left"/>
            <w:rPr>
              <w:rFonts w:hint="eastAsia" w:ascii="宋体" w:hAnsi="宋体" w:eastAsia="宋体" w:cs="宋体"/>
              <w:b w:val="0"/>
              <w:bCs w:val="0"/>
              <w:sz w:val="30"/>
              <w:szCs w:val="3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"_Toc110427524" </w:instrText>
          </w:r>
          <w:r>
            <w:rPr>
              <w:rFonts w:hint="eastAsia" w:ascii="宋体" w:hAnsi="宋体" w:eastAsia="宋体" w:cs="宋体"/>
              <w:b w:val="0"/>
              <w:bCs w:val="0"/>
            </w:rPr>
            <w:fldChar w:fldCharType="separate"/>
          </w:r>
          <w:r>
            <w:rPr>
              <w:rStyle w:val="46"/>
              <w:rFonts w:hint="eastAsia" w:ascii="宋体" w:hAnsi="宋体" w:eastAsia="宋体" w:cs="宋体"/>
              <w:b w:val="0"/>
              <w:bCs w:val="0"/>
              <w:sz w:val="30"/>
              <w:szCs w:val="30"/>
            </w:rPr>
            <w:t>（九）护理硕士（1054）培养方案</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_Toc110427524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86</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pPr>
            <w:pStyle w:val="31"/>
            <w:tabs>
              <w:tab w:val="right" w:leader="dot" w:pos="8834"/>
            </w:tabs>
            <w:spacing w:line="360" w:lineRule="auto"/>
            <w:jc w:val="left"/>
            <w:rPr>
              <w:rFonts w:hint="eastAsia" w:ascii="宋体" w:hAnsi="宋体" w:eastAsia="宋体" w:cs="宋体"/>
              <w:b w:val="0"/>
              <w:bCs w:val="0"/>
              <w:sz w:val="30"/>
              <w:szCs w:val="3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"_Toc110427525" </w:instrText>
          </w:r>
          <w:r>
            <w:rPr>
              <w:rFonts w:hint="eastAsia" w:ascii="宋体" w:hAnsi="宋体" w:eastAsia="宋体" w:cs="宋体"/>
              <w:b w:val="0"/>
              <w:bCs w:val="0"/>
            </w:rPr>
            <w:fldChar w:fldCharType="separate"/>
          </w:r>
          <w:r>
            <w:rPr>
              <w:rStyle w:val="46"/>
              <w:rFonts w:hint="eastAsia" w:ascii="宋体" w:hAnsi="宋体" w:eastAsia="宋体" w:cs="宋体"/>
              <w:b w:val="0"/>
              <w:bCs w:val="0"/>
              <w:sz w:val="30"/>
              <w:szCs w:val="30"/>
            </w:rPr>
            <w:t>（十）药学硕士（1055）培养方案</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_Toc110427525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88</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pPr>
            <w:pStyle w:val="31"/>
            <w:tabs>
              <w:tab w:val="right" w:leader="dot" w:pos="8834"/>
            </w:tabs>
            <w:spacing w:line="360" w:lineRule="auto"/>
            <w:jc w:val="left"/>
            <w:rPr>
              <w:rFonts w:hint="eastAsia" w:ascii="宋体" w:hAnsi="宋体" w:eastAsia="宋体" w:cs="宋体"/>
              <w:b w:val="0"/>
              <w:bCs w:val="0"/>
              <w:sz w:val="30"/>
              <w:szCs w:val="3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"_Toc110427526" </w:instrText>
          </w:r>
          <w:r>
            <w:rPr>
              <w:rFonts w:hint="eastAsia" w:ascii="宋体" w:hAnsi="宋体" w:eastAsia="宋体" w:cs="宋体"/>
              <w:b w:val="0"/>
              <w:bCs w:val="0"/>
            </w:rPr>
            <w:fldChar w:fldCharType="separate"/>
          </w:r>
          <w:r>
            <w:rPr>
              <w:rStyle w:val="46"/>
              <w:rFonts w:hint="eastAsia" w:ascii="宋体" w:hAnsi="宋体" w:eastAsia="宋体" w:cs="宋体"/>
              <w:b w:val="0"/>
              <w:bCs w:val="0"/>
              <w:sz w:val="30"/>
              <w:szCs w:val="30"/>
            </w:rPr>
            <w:t>（十一）生物与医药硕士（0860）制药工程项目培养方案</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_Toc110427526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91</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pPr>
            <w:pStyle w:val="31"/>
            <w:tabs>
              <w:tab w:val="right" w:leader="dot" w:pos="8834"/>
            </w:tabs>
            <w:spacing w:line="360" w:lineRule="auto"/>
            <w:jc w:val="left"/>
            <w:rPr>
              <w:rFonts w:hint="eastAsia" w:ascii="宋体" w:hAnsi="宋体" w:eastAsia="宋体" w:cs="宋体"/>
              <w:b w:val="0"/>
              <w:bCs w:val="0"/>
              <w:sz w:val="30"/>
              <w:szCs w:val="30"/>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"_Toc110427528" </w:instrText>
          </w:r>
          <w:r>
            <w:rPr>
              <w:rFonts w:hint="eastAsia" w:ascii="宋体" w:hAnsi="宋体" w:eastAsia="宋体" w:cs="宋体"/>
              <w:b w:val="0"/>
              <w:bCs w:val="0"/>
            </w:rPr>
            <w:fldChar w:fldCharType="separate"/>
          </w:r>
          <w:r>
            <w:rPr>
              <w:rStyle w:val="46"/>
              <w:rFonts w:hint="eastAsia" w:ascii="宋体" w:hAnsi="宋体" w:eastAsia="宋体" w:cs="宋体"/>
              <w:b w:val="0"/>
              <w:bCs w:val="0"/>
              <w:sz w:val="30"/>
              <w:szCs w:val="30"/>
            </w:rPr>
            <w:t>（十二）非全日制公共卫生硕士（1053）培养方案</w:t>
          </w:r>
          <w:r>
            <w:rPr>
              <w:rFonts w:hint="eastAsia" w:ascii="宋体" w:hAnsi="宋体" w:eastAsia="宋体" w:cs="宋体"/>
              <w:b w:val="0"/>
              <w:bCs w:val="0"/>
              <w:sz w:val="30"/>
              <w:szCs w:val="30"/>
            </w:rPr>
            <w:tab/>
          </w:r>
          <w:r>
            <w:rPr>
              <w:rFonts w:hint="eastAsia" w:ascii="宋体" w:hAnsi="宋体" w:eastAsia="宋体" w:cs="宋体"/>
              <w:b w:val="0"/>
              <w:bCs w:val="0"/>
              <w:sz w:val="30"/>
              <w:szCs w:val="30"/>
            </w:rPr>
            <w:fldChar w:fldCharType="begin"/>
          </w:r>
          <w:r>
            <w:rPr>
              <w:rFonts w:hint="eastAsia" w:ascii="宋体" w:hAnsi="宋体" w:eastAsia="宋体" w:cs="宋体"/>
              <w:b w:val="0"/>
              <w:bCs w:val="0"/>
              <w:sz w:val="30"/>
              <w:szCs w:val="30"/>
            </w:rPr>
            <w:instrText xml:space="preserve"> PAGEREF _Toc110427528 \h </w:instrText>
          </w:r>
          <w:r>
            <w:rPr>
              <w:rFonts w:hint="eastAsia" w:ascii="宋体" w:hAnsi="宋体" w:eastAsia="宋体" w:cs="宋体"/>
              <w:b w:val="0"/>
              <w:bCs w:val="0"/>
              <w:sz w:val="30"/>
              <w:szCs w:val="30"/>
            </w:rPr>
            <w:fldChar w:fldCharType="separate"/>
          </w:r>
          <w:r>
            <w:rPr>
              <w:rFonts w:hint="eastAsia" w:ascii="宋体" w:hAnsi="宋体" w:eastAsia="宋体" w:cs="宋体"/>
              <w:b w:val="0"/>
              <w:bCs w:val="0"/>
              <w:sz w:val="30"/>
              <w:szCs w:val="30"/>
            </w:rPr>
            <w:t>96</w:t>
          </w:r>
          <w:r>
            <w:rPr>
              <w:rFonts w:hint="eastAsia" w:ascii="宋体" w:hAnsi="宋体" w:eastAsia="宋体" w:cs="宋体"/>
              <w:b w:val="0"/>
              <w:bCs w:val="0"/>
              <w:sz w:val="30"/>
              <w:szCs w:val="30"/>
            </w:rPr>
            <w:fldChar w:fldCharType="end"/>
          </w:r>
          <w:r>
            <w:rPr>
              <w:rFonts w:hint="eastAsia" w:ascii="宋体" w:hAnsi="宋体" w:eastAsia="宋体" w:cs="宋体"/>
              <w:b w:val="0"/>
              <w:bCs w:val="0"/>
              <w:sz w:val="30"/>
              <w:szCs w:val="30"/>
            </w:rPr>
            <w:fldChar w:fldCharType="end"/>
          </w:r>
        </w:p>
        <w:p>
          <w:pPr>
            <w:spacing w:line="360" w:lineRule="auto"/>
            <w:jc w:val="left"/>
            <w:rPr>
              <w:rFonts w:hint="eastAsia" w:ascii="宋体" w:hAnsi="宋体" w:eastAsia="宋体" w:cs="宋体"/>
              <w:b w:val="0"/>
              <w:bCs w:val="0"/>
              <w:sz w:val="30"/>
              <w:szCs w:val="30"/>
            </w:rPr>
          </w:pPr>
          <w:r>
            <w:rPr>
              <w:rFonts w:hint="eastAsia" w:ascii="宋体" w:hAnsi="宋体" w:eastAsia="宋体" w:cs="宋体"/>
              <w:b w:val="0"/>
              <w:bCs w:val="0"/>
              <w:sz w:val="30"/>
              <w:szCs w:val="30"/>
              <w:lang w:val="zh-CN"/>
            </w:rPr>
            <w:fldChar w:fldCharType="end"/>
          </w:r>
        </w:p>
      </w:sdtContent>
    </w:sdt>
    <w:p>
      <w:pPr>
        <w:spacing w:line="288" w:lineRule="auto"/>
        <w:jc w:val="left"/>
        <w:rPr>
          <w:rFonts w:hint="eastAsia" w:ascii="楷体" w:hAnsi="楷体" w:eastAsia="楷体" w:cs="Times New Roman"/>
          <w:sz w:val="30"/>
          <w:szCs w:val="30"/>
        </w:rPr>
      </w:pPr>
    </w:p>
    <w:p>
      <w:pPr>
        <w:spacing w:line="288" w:lineRule="auto"/>
        <w:jc w:val="center"/>
        <w:rPr>
          <w:rFonts w:ascii="Times New Roman" w:hAnsi="Times New Roman" w:cs="Times New Roman"/>
          <w:sz w:val="24"/>
          <w:szCs w:val="24"/>
        </w:rPr>
      </w:pPr>
    </w:p>
    <w:p>
      <w:pPr>
        <w:spacing w:line="288" w:lineRule="auto"/>
        <w:jc w:val="center"/>
        <w:rPr>
          <w:rFonts w:ascii="Times New Roman" w:hAnsi="Times New Roman" w:cs="Times New Roman"/>
          <w:sz w:val="24"/>
          <w:szCs w:val="24"/>
        </w:rPr>
      </w:pPr>
    </w:p>
    <w:p>
      <w:pPr>
        <w:pStyle w:val="2"/>
        <w:keepNext/>
        <w:keepLines/>
        <w:pageBreakBefore w:val="0"/>
        <w:widowControl w:val="0"/>
        <w:kinsoku/>
        <w:wordWrap/>
        <w:overflowPunct/>
        <w:topLinePunct w:val="0"/>
        <w:autoSpaceDE/>
        <w:autoSpaceDN/>
        <w:bidi w:val="0"/>
        <w:adjustRightInd/>
        <w:snapToGrid/>
        <w:spacing w:before="0" w:after="0" w:line="300" w:lineRule="auto"/>
        <w:jc w:val="center"/>
        <w:textAlignment w:val="auto"/>
        <w:rPr>
          <w:rFonts w:hint="eastAsia" w:ascii="Times New Roman" w:hAnsi="Times New Roman" w:eastAsia="隶书" w:cs="Times New Roman"/>
          <w:b w:val="0"/>
        </w:rPr>
      </w:pPr>
      <w:bookmarkStart w:id="0" w:name="_Toc12439993"/>
      <w:bookmarkStart w:id="1" w:name="_Toc45890682"/>
      <w:bookmarkStart w:id="2" w:name="_Toc110427510"/>
    </w:p>
    <w:p>
      <w:pPr>
        <w:rPr>
          <w:rFonts w:hint="eastAsia" w:ascii="Times New Roman" w:hAnsi="Times New Roman" w:eastAsia="隶书" w:cs="Times New Roman"/>
          <w:b w:val="0"/>
        </w:rPr>
      </w:pPr>
    </w:p>
    <w:p>
      <w:pPr>
        <w:rPr>
          <w:rFonts w:hint="eastAsia" w:ascii="Times New Roman" w:hAnsi="Times New Roman" w:eastAsia="隶书" w:cs="Times New Roman"/>
          <w:b w:val="0"/>
        </w:rPr>
      </w:pPr>
    </w:p>
    <w:p>
      <w:pPr>
        <w:rPr>
          <w:rFonts w:hint="eastAsia" w:ascii="Times New Roman" w:hAnsi="Times New Roman" w:eastAsia="隶书" w:cs="Times New Roman"/>
          <w:b w:val="0"/>
        </w:rPr>
      </w:pPr>
    </w:p>
    <w:p>
      <w:pPr>
        <w:pStyle w:val="2"/>
        <w:spacing w:after="340" w:line="300" w:lineRule="auto"/>
        <w:jc w:val="center"/>
        <w:rPr>
          <w:rFonts w:ascii="Times New Roman" w:hAnsi="Times New Roman" w:eastAsia="隶书" w:cs="Times New Roman"/>
          <w:b w:val="0"/>
        </w:rPr>
      </w:pPr>
      <w:r>
        <w:rPr>
          <w:rFonts w:hint="eastAsia" w:ascii="Times New Roman" w:hAnsi="Times New Roman" w:eastAsia="隶书" w:cs="Times New Roman"/>
          <w:b w:val="0"/>
        </w:rPr>
        <w:t>研究生培养环节及学分要求</w:t>
      </w:r>
      <w:bookmarkEnd w:id="0"/>
      <w:bookmarkEnd w:id="1"/>
      <w:bookmarkEnd w:id="2"/>
    </w:p>
    <w:p>
      <w:pPr>
        <w:autoSpaceDE w:val="0"/>
        <w:autoSpaceDN w:val="0"/>
        <w:adjustRightInd w:val="0"/>
        <w:spacing w:line="283" w:lineRule="auto"/>
        <w:ind w:firstLine="420" w:firstLineChars="200"/>
        <w:jc w:val="left"/>
        <w:rPr>
          <w:rFonts w:ascii="Times New Roman" w:hAnsi="Times New Roman" w:eastAsia="宋体" w:cs="仿宋_GB2312"/>
          <w:kern w:val="0"/>
          <w:szCs w:val="21"/>
        </w:rPr>
      </w:pPr>
      <w:r>
        <w:rPr>
          <w:rFonts w:hint="eastAsia" w:ascii="Times New Roman" w:hAnsi="宋体" w:eastAsia="宋体" w:cs="仿宋_GB2312"/>
          <w:kern w:val="0"/>
          <w:szCs w:val="21"/>
        </w:rPr>
        <w:t>根据研究生培养方案的要求，我校研究生的培养模式和环节呈现多样化。现将各类研究生培养环节及学分要求汇总如下。</w:t>
      </w:r>
    </w:p>
    <w:p>
      <w:pPr>
        <w:autoSpaceDE w:val="0"/>
        <w:autoSpaceDN w:val="0"/>
        <w:adjustRightInd w:val="0"/>
        <w:spacing w:line="283" w:lineRule="auto"/>
        <w:ind w:firstLine="420" w:firstLineChars="200"/>
        <w:jc w:val="left"/>
        <w:rPr>
          <w:rFonts w:ascii="Times New Roman" w:hAnsi="Times New Roman" w:eastAsia="宋体" w:cs="Times New Roman"/>
          <w:szCs w:val="21"/>
        </w:rPr>
      </w:pPr>
    </w:p>
    <w:p>
      <w:pPr>
        <w:spacing w:line="283" w:lineRule="auto"/>
        <w:outlineLvl w:val="0"/>
        <w:rPr>
          <w:rFonts w:ascii="黑体" w:hAnsi="宋体" w:eastAsia="黑体" w:cs="Times New Roman"/>
          <w:sz w:val="24"/>
          <w:szCs w:val="24"/>
        </w:rPr>
      </w:pPr>
      <w:bookmarkStart w:id="3" w:name="_Toc45894393"/>
      <w:bookmarkStart w:id="4" w:name="_Toc488068613"/>
      <w:bookmarkStart w:id="5" w:name="_Toc110427511"/>
      <w:bookmarkStart w:id="6" w:name="_Toc46247685"/>
      <w:bookmarkStart w:id="7" w:name="_Toc45890683"/>
      <w:bookmarkStart w:id="8" w:name="_Toc12439994"/>
      <w:bookmarkStart w:id="9" w:name="_Toc520822073"/>
      <w:r>
        <w:rPr>
          <w:rFonts w:hint="eastAsia" w:ascii="黑体" w:hAnsi="宋体" w:eastAsia="黑体" w:cs="Times New Roman"/>
          <w:sz w:val="24"/>
          <w:szCs w:val="24"/>
        </w:rPr>
        <w:t>一、硕士、贯通培养、博士、专业学位研究生培养环节及学分要求</w:t>
      </w:r>
      <w:bookmarkEnd w:id="3"/>
      <w:bookmarkEnd w:id="4"/>
      <w:bookmarkEnd w:id="5"/>
      <w:bookmarkEnd w:id="6"/>
      <w:bookmarkEnd w:id="7"/>
      <w:bookmarkEnd w:id="8"/>
      <w:bookmarkEnd w:id="9"/>
    </w:p>
    <w:p>
      <w:pPr>
        <w:spacing w:before="120" w:beforeLines="50" w:line="283" w:lineRule="auto"/>
        <w:jc w:val="center"/>
        <w:rPr>
          <w:rFonts w:cs="Times New Roman" w:asciiTheme="minorEastAsia" w:hAnsiTheme="minorEastAsia"/>
          <w:b/>
          <w:szCs w:val="21"/>
        </w:rPr>
      </w:pPr>
      <w:r>
        <w:rPr>
          <w:rFonts w:hint="eastAsia" w:cs="Times New Roman" w:asciiTheme="minorEastAsia" w:hAnsiTheme="minorEastAsia"/>
          <w:b/>
          <w:szCs w:val="21"/>
        </w:rPr>
        <w:t>表一</w:t>
      </w:r>
      <w:r>
        <w:rPr>
          <w:rFonts w:cs="Times New Roman" w:asciiTheme="minorEastAsia" w:hAnsiTheme="minorEastAsia"/>
          <w:b/>
          <w:szCs w:val="21"/>
        </w:rPr>
        <w:t xml:space="preserve">  </w:t>
      </w:r>
      <w:r>
        <w:rPr>
          <w:rFonts w:hint="eastAsia" w:cs="Times New Roman" w:asciiTheme="minorEastAsia" w:hAnsiTheme="minorEastAsia"/>
          <w:b/>
          <w:szCs w:val="21"/>
        </w:rPr>
        <w:t>培养环节及学分要求</w:t>
      </w:r>
    </w:p>
    <w:tbl>
      <w:tblPr>
        <w:tblStyle w:val="38"/>
        <w:tblpPr w:leftFromText="180" w:rightFromText="180" w:vertAnchor="text" w:horzAnchor="margin" w:tblpXSpec="center" w:tblpY="105"/>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547"/>
        <w:gridCol w:w="520"/>
        <w:gridCol w:w="440"/>
        <w:gridCol w:w="573"/>
        <w:gridCol w:w="467"/>
        <w:gridCol w:w="607"/>
        <w:gridCol w:w="553"/>
        <w:gridCol w:w="627"/>
        <w:gridCol w:w="586"/>
        <w:gridCol w:w="560"/>
        <w:gridCol w:w="707"/>
        <w:gridCol w:w="709"/>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3" w:type="dxa"/>
            <w:vMerge w:val="restart"/>
            <w:tcBorders>
              <w:tl2br w:val="single" w:color="auto" w:sz="4" w:space="0"/>
            </w:tcBorders>
            <w:vAlign w:val="center"/>
          </w:tcPr>
          <w:p>
            <w:pPr>
              <w:widowControl/>
              <w:ind w:firstLine="422" w:firstLineChars="200"/>
              <w:rPr>
                <w:rFonts w:cs="Times New Roman" w:asciiTheme="minorEastAsia" w:hAnsiTheme="minorEastAsia"/>
                <w:b/>
                <w:szCs w:val="21"/>
              </w:rPr>
            </w:pPr>
            <w:r>
              <w:rPr>
                <w:rFonts w:hint="eastAsia" w:cs="Times New Roman" w:asciiTheme="minorEastAsia" w:hAnsiTheme="minorEastAsia"/>
                <w:b/>
                <w:szCs w:val="21"/>
              </w:rPr>
              <w:t>学生类型</w:t>
            </w:r>
          </w:p>
          <w:p>
            <w:pPr>
              <w:widowControl/>
              <w:rPr>
                <w:rFonts w:cs="Times New Roman" w:asciiTheme="minorEastAsia" w:hAnsiTheme="minorEastAsia"/>
                <w:b/>
                <w:szCs w:val="21"/>
              </w:rPr>
            </w:pPr>
          </w:p>
          <w:p>
            <w:pPr>
              <w:widowControl/>
              <w:rPr>
                <w:rFonts w:cs="Times New Roman" w:asciiTheme="minorEastAsia" w:hAnsiTheme="minorEastAsia"/>
                <w:b/>
                <w:szCs w:val="21"/>
              </w:rPr>
            </w:pPr>
          </w:p>
          <w:p>
            <w:pPr>
              <w:widowControl/>
              <w:rPr>
                <w:rFonts w:cs="Times New Roman" w:asciiTheme="minorEastAsia" w:hAnsiTheme="minorEastAsia"/>
                <w:b/>
                <w:szCs w:val="21"/>
              </w:rPr>
            </w:pPr>
            <w:r>
              <w:rPr>
                <w:rFonts w:hint="eastAsia" w:cs="Times New Roman" w:asciiTheme="minorEastAsia" w:hAnsiTheme="minorEastAsia"/>
                <w:b/>
                <w:szCs w:val="21"/>
              </w:rPr>
              <w:t>培养环节</w:t>
            </w:r>
          </w:p>
        </w:tc>
        <w:tc>
          <w:tcPr>
            <w:tcW w:w="1507" w:type="dxa"/>
            <w:gridSpan w:val="3"/>
            <w:vAlign w:val="center"/>
          </w:tcPr>
          <w:p>
            <w:pPr>
              <w:widowControl/>
              <w:jc w:val="center"/>
              <w:rPr>
                <w:rFonts w:cs="Times New Roman" w:asciiTheme="minorEastAsia" w:hAnsiTheme="minorEastAsia"/>
                <w:b/>
                <w:szCs w:val="21"/>
              </w:rPr>
            </w:pPr>
            <w:r>
              <w:rPr>
                <w:rFonts w:hint="eastAsia" w:cs="Times New Roman" w:asciiTheme="minorEastAsia" w:hAnsiTheme="minorEastAsia"/>
                <w:b/>
                <w:szCs w:val="21"/>
              </w:rPr>
              <w:t>学术学位硕士</w:t>
            </w:r>
          </w:p>
        </w:tc>
        <w:tc>
          <w:tcPr>
            <w:tcW w:w="2200" w:type="dxa"/>
            <w:gridSpan w:val="4"/>
            <w:vAlign w:val="center"/>
          </w:tcPr>
          <w:p>
            <w:pPr>
              <w:widowControl/>
              <w:jc w:val="center"/>
              <w:rPr>
                <w:rFonts w:cs="Times New Roman" w:asciiTheme="minorEastAsia" w:hAnsiTheme="minorEastAsia"/>
                <w:b/>
                <w:szCs w:val="21"/>
              </w:rPr>
            </w:pPr>
            <w:r>
              <w:rPr>
                <w:rFonts w:hint="eastAsia" w:cs="Times New Roman" w:asciiTheme="minorEastAsia" w:hAnsiTheme="minorEastAsia"/>
                <w:b/>
                <w:szCs w:val="21"/>
              </w:rPr>
              <w:t>专业学位硕士</w:t>
            </w:r>
          </w:p>
        </w:tc>
        <w:tc>
          <w:tcPr>
            <w:tcW w:w="1773" w:type="dxa"/>
            <w:gridSpan w:val="3"/>
            <w:vAlign w:val="center"/>
          </w:tcPr>
          <w:p>
            <w:pPr>
              <w:widowControl/>
              <w:jc w:val="center"/>
              <w:rPr>
                <w:rFonts w:cs="Times New Roman" w:asciiTheme="minorEastAsia" w:hAnsiTheme="minorEastAsia"/>
                <w:b/>
                <w:szCs w:val="21"/>
              </w:rPr>
            </w:pPr>
            <w:r>
              <w:rPr>
                <w:rFonts w:hint="eastAsia" w:cs="Times New Roman" w:asciiTheme="minorEastAsia" w:hAnsiTheme="minorEastAsia"/>
                <w:b/>
                <w:szCs w:val="21"/>
              </w:rPr>
              <w:t>学术学位</w:t>
            </w:r>
          </w:p>
          <w:p>
            <w:pPr>
              <w:widowControl/>
              <w:jc w:val="center"/>
              <w:rPr>
                <w:rFonts w:cs="Times New Roman" w:asciiTheme="minorEastAsia" w:hAnsiTheme="minorEastAsia"/>
                <w:b/>
                <w:szCs w:val="21"/>
              </w:rPr>
            </w:pPr>
            <w:r>
              <w:rPr>
                <w:rFonts w:hint="eastAsia" w:cs="Times New Roman" w:asciiTheme="minorEastAsia" w:hAnsiTheme="minorEastAsia"/>
                <w:b/>
                <w:szCs w:val="21"/>
              </w:rPr>
              <w:t>贯通培养学生</w:t>
            </w:r>
          </w:p>
        </w:tc>
        <w:tc>
          <w:tcPr>
            <w:tcW w:w="707" w:type="dxa"/>
            <w:vMerge w:val="restart"/>
            <w:vAlign w:val="center"/>
          </w:tcPr>
          <w:p>
            <w:pPr>
              <w:widowControl/>
              <w:jc w:val="center"/>
              <w:rPr>
                <w:rFonts w:cs="Times New Roman" w:asciiTheme="minorEastAsia" w:hAnsiTheme="minorEastAsia"/>
                <w:b/>
                <w:szCs w:val="21"/>
              </w:rPr>
            </w:pPr>
            <w:r>
              <w:rPr>
                <w:rFonts w:hint="eastAsia" w:cs="Times New Roman" w:asciiTheme="minorEastAsia" w:hAnsiTheme="minorEastAsia"/>
                <w:b/>
                <w:szCs w:val="21"/>
              </w:rPr>
              <w:t>学术学位博士</w:t>
            </w:r>
          </w:p>
        </w:tc>
        <w:tc>
          <w:tcPr>
            <w:tcW w:w="709" w:type="dxa"/>
            <w:vMerge w:val="restart"/>
            <w:vAlign w:val="center"/>
          </w:tcPr>
          <w:p>
            <w:pPr>
              <w:widowControl/>
              <w:jc w:val="center"/>
              <w:rPr>
                <w:rFonts w:cs="Times New Roman" w:asciiTheme="minorEastAsia" w:hAnsiTheme="minorEastAsia"/>
                <w:b/>
                <w:szCs w:val="21"/>
              </w:rPr>
            </w:pPr>
            <w:r>
              <w:rPr>
                <w:rFonts w:hint="eastAsia" w:cs="Times New Roman" w:asciiTheme="minorEastAsia" w:hAnsiTheme="minorEastAsia"/>
                <w:b/>
                <w:szCs w:val="21"/>
              </w:rPr>
              <w:t>医学专业学位博士</w:t>
            </w:r>
          </w:p>
        </w:tc>
        <w:tc>
          <w:tcPr>
            <w:tcW w:w="573" w:type="dxa"/>
            <w:vMerge w:val="restart"/>
            <w:vAlign w:val="center"/>
          </w:tcPr>
          <w:p>
            <w:pPr>
              <w:widowControl/>
              <w:jc w:val="center"/>
              <w:rPr>
                <w:rFonts w:cs="Times New Roman" w:asciiTheme="minorEastAsia" w:hAnsiTheme="minorEastAsia"/>
                <w:b/>
                <w:szCs w:val="21"/>
              </w:rPr>
            </w:pPr>
            <w:r>
              <w:rPr>
                <w:rFonts w:hint="eastAsia" w:cs="Times New Roman" w:asciiTheme="minorEastAsia" w:hAnsiTheme="minorEastAsia"/>
                <w:b/>
                <w:szCs w:val="21"/>
              </w:rPr>
              <w:t>工程</w:t>
            </w:r>
          </w:p>
          <w:p>
            <w:pPr>
              <w:widowControl/>
              <w:jc w:val="center"/>
              <w:rPr>
                <w:rFonts w:cs="Times New Roman" w:asciiTheme="minorEastAsia" w:hAnsiTheme="minorEastAsia"/>
                <w:b/>
                <w:szCs w:val="21"/>
              </w:rPr>
            </w:pPr>
            <w:r>
              <w:rPr>
                <w:rFonts w:hint="eastAsia" w:cs="Times New Roman" w:asciiTheme="minorEastAsia" w:hAnsiTheme="minorEastAsia"/>
                <w:b/>
                <w:szCs w:val="21"/>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3" w:type="dxa"/>
            <w:vMerge w:val="continue"/>
            <w:tcBorders>
              <w:tl2br w:val="single" w:color="auto" w:sz="4" w:space="0"/>
            </w:tcBorders>
            <w:vAlign w:val="center"/>
          </w:tcPr>
          <w:p>
            <w:pPr>
              <w:widowControl/>
              <w:jc w:val="left"/>
              <w:rPr>
                <w:rFonts w:cs="Times New Roman" w:asciiTheme="minorEastAsia" w:hAnsiTheme="minorEastAsia"/>
                <w:szCs w:val="21"/>
              </w:rPr>
            </w:pPr>
          </w:p>
        </w:tc>
        <w:tc>
          <w:tcPr>
            <w:tcW w:w="547" w:type="dxa"/>
            <w:vMerge w:val="restart"/>
            <w:vAlign w:val="center"/>
          </w:tcPr>
          <w:p>
            <w:pPr>
              <w:widowControl/>
              <w:jc w:val="center"/>
              <w:rPr>
                <w:rFonts w:cs="Times New Roman" w:asciiTheme="minorEastAsia" w:hAnsiTheme="minorEastAsia"/>
                <w:b/>
                <w:szCs w:val="21"/>
              </w:rPr>
            </w:pPr>
            <w:r>
              <w:rPr>
                <w:rFonts w:hint="eastAsia" w:cs="Times New Roman" w:asciiTheme="minorEastAsia" w:hAnsiTheme="minorEastAsia"/>
                <w:b/>
                <w:szCs w:val="21"/>
              </w:rPr>
              <w:t>人文社科</w:t>
            </w:r>
          </w:p>
        </w:tc>
        <w:tc>
          <w:tcPr>
            <w:tcW w:w="520" w:type="dxa"/>
            <w:vMerge w:val="restart"/>
            <w:vAlign w:val="center"/>
          </w:tcPr>
          <w:p>
            <w:pPr>
              <w:widowControl/>
              <w:jc w:val="center"/>
              <w:rPr>
                <w:rFonts w:cs="Times New Roman" w:asciiTheme="minorEastAsia" w:hAnsiTheme="minorEastAsia"/>
                <w:b/>
                <w:szCs w:val="21"/>
              </w:rPr>
            </w:pPr>
            <w:r>
              <w:rPr>
                <w:rFonts w:hint="eastAsia" w:cs="Times New Roman" w:asciiTheme="minorEastAsia" w:hAnsiTheme="minorEastAsia"/>
                <w:b/>
                <w:szCs w:val="21"/>
              </w:rPr>
              <w:t>理工</w:t>
            </w:r>
          </w:p>
        </w:tc>
        <w:tc>
          <w:tcPr>
            <w:tcW w:w="440" w:type="dxa"/>
            <w:vMerge w:val="restart"/>
            <w:vAlign w:val="center"/>
          </w:tcPr>
          <w:p>
            <w:pPr>
              <w:widowControl/>
              <w:jc w:val="center"/>
              <w:rPr>
                <w:rFonts w:cs="Times New Roman" w:asciiTheme="minorEastAsia" w:hAnsiTheme="minorEastAsia"/>
                <w:b/>
                <w:szCs w:val="21"/>
              </w:rPr>
            </w:pPr>
            <w:r>
              <w:rPr>
                <w:rFonts w:hint="eastAsia" w:cs="Times New Roman" w:asciiTheme="minorEastAsia" w:hAnsiTheme="minorEastAsia"/>
                <w:b/>
                <w:szCs w:val="21"/>
              </w:rPr>
              <w:t>医学</w:t>
            </w:r>
          </w:p>
        </w:tc>
        <w:tc>
          <w:tcPr>
            <w:tcW w:w="573" w:type="dxa"/>
            <w:vMerge w:val="restart"/>
            <w:vAlign w:val="center"/>
          </w:tcPr>
          <w:p>
            <w:pPr>
              <w:widowControl/>
              <w:jc w:val="center"/>
              <w:rPr>
                <w:rFonts w:cs="Times New Roman" w:asciiTheme="minorEastAsia" w:hAnsiTheme="minorEastAsia"/>
                <w:b/>
                <w:szCs w:val="21"/>
              </w:rPr>
            </w:pPr>
            <w:r>
              <w:rPr>
                <w:rFonts w:hint="eastAsia" w:cs="Times New Roman" w:asciiTheme="minorEastAsia" w:hAnsiTheme="minorEastAsia"/>
                <w:b/>
                <w:szCs w:val="21"/>
              </w:rPr>
              <w:t>工程类</w:t>
            </w:r>
          </w:p>
        </w:tc>
        <w:tc>
          <w:tcPr>
            <w:tcW w:w="467" w:type="dxa"/>
            <w:vMerge w:val="restart"/>
            <w:vAlign w:val="center"/>
          </w:tcPr>
          <w:p>
            <w:pPr>
              <w:widowControl/>
              <w:jc w:val="center"/>
              <w:rPr>
                <w:rFonts w:cs="Times New Roman" w:asciiTheme="minorEastAsia" w:hAnsiTheme="minorEastAsia"/>
                <w:b/>
                <w:szCs w:val="21"/>
              </w:rPr>
            </w:pPr>
            <w:r>
              <w:rPr>
                <w:rFonts w:hint="eastAsia" w:cs="Times New Roman" w:asciiTheme="minorEastAsia" w:hAnsiTheme="minorEastAsia"/>
                <w:b/>
                <w:szCs w:val="21"/>
              </w:rPr>
              <w:t>医学</w:t>
            </w:r>
          </w:p>
        </w:tc>
        <w:tc>
          <w:tcPr>
            <w:tcW w:w="1160" w:type="dxa"/>
            <w:gridSpan w:val="2"/>
            <w:vAlign w:val="center"/>
          </w:tcPr>
          <w:p>
            <w:pPr>
              <w:widowControl/>
              <w:jc w:val="center"/>
              <w:rPr>
                <w:rFonts w:cs="Times New Roman" w:asciiTheme="minorEastAsia" w:hAnsiTheme="minorEastAsia"/>
                <w:b/>
                <w:szCs w:val="21"/>
              </w:rPr>
            </w:pPr>
            <w:r>
              <w:rPr>
                <w:rFonts w:hint="eastAsia" w:cs="Times New Roman" w:asciiTheme="minorEastAsia" w:hAnsiTheme="minorEastAsia"/>
                <w:b/>
                <w:szCs w:val="21"/>
              </w:rPr>
              <w:t>其它</w:t>
            </w:r>
          </w:p>
        </w:tc>
        <w:tc>
          <w:tcPr>
            <w:tcW w:w="627" w:type="dxa"/>
            <w:vMerge w:val="restart"/>
            <w:vAlign w:val="center"/>
          </w:tcPr>
          <w:p>
            <w:pPr>
              <w:widowControl/>
              <w:jc w:val="center"/>
              <w:rPr>
                <w:rFonts w:cs="Times New Roman" w:asciiTheme="minorEastAsia" w:hAnsiTheme="minorEastAsia"/>
                <w:b/>
                <w:szCs w:val="21"/>
              </w:rPr>
            </w:pPr>
            <w:r>
              <w:rPr>
                <w:rFonts w:hint="eastAsia" w:cs="Times New Roman" w:asciiTheme="minorEastAsia" w:hAnsiTheme="minorEastAsia"/>
                <w:b/>
                <w:szCs w:val="21"/>
              </w:rPr>
              <w:t>人文社科</w:t>
            </w:r>
          </w:p>
        </w:tc>
        <w:tc>
          <w:tcPr>
            <w:tcW w:w="586" w:type="dxa"/>
            <w:vMerge w:val="restart"/>
            <w:vAlign w:val="center"/>
          </w:tcPr>
          <w:p>
            <w:pPr>
              <w:widowControl/>
              <w:jc w:val="center"/>
              <w:rPr>
                <w:rFonts w:cs="Times New Roman" w:asciiTheme="minorEastAsia" w:hAnsiTheme="minorEastAsia"/>
                <w:b/>
                <w:szCs w:val="21"/>
              </w:rPr>
            </w:pPr>
            <w:r>
              <w:rPr>
                <w:rFonts w:hint="eastAsia" w:cs="Times New Roman" w:asciiTheme="minorEastAsia" w:hAnsiTheme="minorEastAsia"/>
                <w:b/>
                <w:szCs w:val="21"/>
              </w:rPr>
              <w:t>理工</w:t>
            </w:r>
          </w:p>
        </w:tc>
        <w:tc>
          <w:tcPr>
            <w:tcW w:w="560" w:type="dxa"/>
            <w:vMerge w:val="restart"/>
            <w:vAlign w:val="center"/>
          </w:tcPr>
          <w:p>
            <w:pPr>
              <w:widowControl/>
              <w:jc w:val="center"/>
              <w:rPr>
                <w:rFonts w:cs="Times New Roman" w:asciiTheme="minorEastAsia" w:hAnsiTheme="minorEastAsia"/>
                <w:b/>
                <w:szCs w:val="21"/>
              </w:rPr>
            </w:pPr>
            <w:r>
              <w:rPr>
                <w:rFonts w:hint="eastAsia" w:cs="Times New Roman" w:asciiTheme="minorEastAsia" w:hAnsiTheme="minorEastAsia"/>
                <w:b/>
                <w:szCs w:val="21"/>
              </w:rPr>
              <w:t>医学</w:t>
            </w:r>
          </w:p>
        </w:tc>
        <w:tc>
          <w:tcPr>
            <w:tcW w:w="707" w:type="dxa"/>
            <w:vMerge w:val="continue"/>
            <w:vAlign w:val="center"/>
          </w:tcPr>
          <w:p>
            <w:pPr>
              <w:widowControl/>
              <w:jc w:val="center"/>
              <w:rPr>
                <w:rFonts w:cs="Times New Roman" w:asciiTheme="minorEastAsia" w:hAnsiTheme="minorEastAsia"/>
                <w:szCs w:val="21"/>
              </w:rPr>
            </w:pPr>
          </w:p>
        </w:tc>
        <w:tc>
          <w:tcPr>
            <w:tcW w:w="709" w:type="dxa"/>
            <w:vMerge w:val="continue"/>
            <w:vAlign w:val="center"/>
          </w:tcPr>
          <w:p>
            <w:pPr>
              <w:widowControl/>
              <w:jc w:val="center"/>
              <w:rPr>
                <w:rFonts w:cs="Times New Roman" w:asciiTheme="minorEastAsia" w:hAnsiTheme="minorEastAsia"/>
                <w:szCs w:val="21"/>
              </w:rPr>
            </w:pPr>
          </w:p>
        </w:tc>
        <w:tc>
          <w:tcPr>
            <w:tcW w:w="573" w:type="dxa"/>
            <w:vMerge w:val="continue"/>
            <w:vAlign w:val="center"/>
          </w:tcPr>
          <w:p>
            <w:pPr>
              <w:widowControl/>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3" w:type="dxa"/>
            <w:vMerge w:val="continue"/>
            <w:tcBorders>
              <w:tl2br w:val="single" w:color="auto" w:sz="4" w:space="0"/>
            </w:tcBorders>
            <w:vAlign w:val="center"/>
          </w:tcPr>
          <w:p>
            <w:pPr>
              <w:widowControl/>
              <w:jc w:val="left"/>
              <w:rPr>
                <w:rFonts w:cs="Times New Roman" w:asciiTheme="minorEastAsia" w:hAnsiTheme="minorEastAsia"/>
                <w:szCs w:val="21"/>
              </w:rPr>
            </w:pPr>
          </w:p>
        </w:tc>
        <w:tc>
          <w:tcPr>
            <w:tcW w:w="547" w:type="dxa"/>
            <w:vMerge w:val="continue"/>
            <w:vAlign w:val="center"/>
          </w:tcPr>
          <w:p>
            <w:pPr>
              <w:widowControl/>
              <w:jc w:val="left"/>
              <w:rPr>
                <w:rFonts w:cs="Times New Roman" w:asciiTheme="minorEastAsia" w:hAnsiTheme="minorEastAsia"/>
                <w:szCs w:val="21"/>
              </w:rPr>
            </w:pPr>
          </w:p>
        </w:tc>
        <w:tc>
          <w:tcPr>
            <w:tcW w:w="520" w:type="dxa"/>
            <w:vMerge w:val="continue"/>
            <w:vAlign w:val="center"/>
          </w:tcPr>
          <w:p>
            <w:pPr>
              <w:widowControl/>
              <w:jc w:val="left"/>
              <w:rPr>
                <w:rFonts w:cs="Times New Roman" w:asciiTheme="minorEastAsia" w:hAnsiTheme="minorEastAsia"/>
                <w:szCs w:val="21"/>
              </w:rPr>
            </w:pPr>
          </w:p>
        </w:tc>
        <w:tc>
          <w:tcPr>
            <w:tcW w:w="440" w:type="dxa"/>
            <w:vMerge w:val="continue"/>
            <w:vAlign w:val="center"/>
          </w:tcPr>
          <w:p>
            <w:pPr>
              <w:widowControl/>
              <w:jc w:val="left"/>
              <w:rPr>
                <w:rFonts w:cs="Times New Roman" w:asciiTheme="minorEastAsia" w:hAnsiTheme="minorEastAsia"/>
                <w:szCs w:val="21"/>
              </w:rPr>
            </w:pPr>
          </w:p>
        </w:tc>
        <w:tc>
          <w:tcPr>
            <w:tcW w:w="573" w:type="dxa"/>
            <w:vMerge w:val="continue"/>
            <w:vAlign w:val="center"/>
          </w:tcPr>
          <w:p>
            <w:pPr>
              <w:widowControl/>
              <w:jc w:val="left"/>
              <w:rPr>
                <w:rFonts w:cs="Times New Roman" w:asciiTheme="minorEastAsia" w:hAnsiTheme="minorEastAsia"/>
                <w:szCs w:val="21"/>
              </w:rPr>
            </w:pPr>
          </w:p>
        </w:tc>
        <w:tc>
          <w:tcPr>
            <w:tcW w:w="467" w:type="dxa"/>
            <w:vMerge w:val="continue"/>
            <w:vAlign w:val="center"/>
          </w:tcPr>
          <w:p>
            <w:pPr>
              <w:widowControl/>
              <w:jc w:val="left"/>
              <w:rPr>
                <w:rFonts w:cs="Times New Roman" w:asciiTheme="minorEastAsia" w:hAnsiTheme="minorEastAsia"/>
                <w:szCs w:val="21"/>
              </w:rPr>
            </w:pPr>
          </w:p>
        </w:tc>
        <w:tc>
          <w:tcPr>
            <w:tcW w:w="607" w:type="dxa"/>
            <w:vAlign w:val="center"/>
          </w:tcPr>
          <w:p>
            <w:pPr>
              <w:widowControl/>
              <w:jc w:val="center"/>
              <w:rPr>
                <w:rFonts w:cs="Times New Roman" w:asciiTheme="minorEastAsia" w:hAnsiTheme="minorEastAsia"/>
                <w:b/>
                <w:szCs w:val="21"/>
              </w:rPr>
            </w:pPr>
            <w:r>
              <w:rPr>
                <w:rFonts w:hint="eastAsia" w:cs="Times New Roman" w:asciiTheme="minorEastAsia" w:hAnsiTheme="minorEastAsia"/>
                <w:b/>
                <w:szCs w:val="21"/>
              </w:rPr>
              <w:t>全日制</w:t>
            </w:r>
          </w:p>
        </w:tc>
        <w:tc>
          <w:tcPr>
            <w:tcW w:w="553" w:type="dxa"/>
            <w:vAlign w:val="center"/>
          </w:tcPr>
          <w:p>
            <w:pPr>
              <w:widowControl/>
              <w:jc w:val="left"/>
              <w:rPr>
                <w:rFonts w:cs="Times New Roman" w:asciiTheme="minorEastAsia" w:hAnsiTheme="minorEastAsia"/>
                <w:b/>
                <w:szCs w:val="21"/>
              </w:rPr>
            </w:pPr>
            <w:r>
              <w:rPr>
                <w:rFonts w:hint="eastAsia" w:cs="Times New Roman" w:asciiTheme="minorEastAsia" w:hAnsiTheme="minorEastAsia"/>
                <w:b/>
                <w:szCs w:val="21"/>
              </w:rPr>
              <w:t>非全日制</w:t>
            </w:r>
          </w:p>
        </w:tc>
        <w:tc>
          <w:tcPr>
            <w:tcW w:w="627" w:type="dxa"/>
            <w:vMerge w:val="continue"/>
            <w:vAlign w:val="center"/>
          </w:tcPr>
          <w:p>
            <w:pPr>
              <w:widowControl/>
              <w:jc w:val="left"/>
              <w:rPr>
                <w:rFonts w:cs="Times New Roman" w:asciiTheme="minorEastAsia" w:hAnsiTheme="minorEastAsia"/>
                <w:szCs w:val="21"/>
              </w:rPr>
            </w:pPr>
          </w:p>
        </w:tc>
        <w:tc>
          <w:tcPr>
            <w:tcW w:w="586" w:type="dxa"/>
            <w:vMerge w:val="continue"/>
            <w:vAlign w:val="center"/>
          </w:tcPr>
          <w:p>
            <w:pPr>
              <w:widowControl/>
              <w:jc w:val="left"/>
              <w:rPr>
                <w:rFonts w:cs="Times New Roman" w:asciiTheme="minorEastAsia" w:hAnsiTheme="minorEastAsia"/>
                <w:szCs w:val="21"/>
              </w:rPr>
            </w:pPr>
          </w:p>
        </w:tc>
        <w:tc>
          <w:tcPr>
            <w:tcW w:w="560" w:type="dxa"/>
            <w:vMerge w:val="continue"/>
            <w:vAlign w:val="center"/>
          </w:tcPr>
          <w:p>
            <w:pPr>
              <w:widowControl/>
              <w:jc w:val="left"/>
              <w:rPr>
                <w:rFonts w:cs="Times New Roman" w:asciiTheme="minorEastAsia" w:hAnsiTheme="minorEastAsia"/>
                <w:szCs w:val="21"/>
              </w:rPr>
            </w:pPr>
          </w:p>
        </w:tc>
        <w:tc>
          <w:tcPr>
            <w:tcW w:w="707" w:type="dxa"/>
            <w:vMerge w:val="continue"/>
            <w:vAlign w:val="center"/>
          </w:tcPr>
          <w:p>
            <w:pPr>
              <w:widowControl/>
              <w:jc w:val="left"/>
              <w:rPr>
                <w:rFonts w:cs="Times New Roman" w:asciiTheme="minorEastAsia" w:hAnsiTheme="minorEastAsia"/>
                <w:szCs w:val="21"/>
              </w:rPr>
            </w:pPr>
          </w:p>
        </w:tc>
        <w:tc>
          <w:tcPr>
            <w:tcW w:w="709" w:type="dxa"/>
            <w:vMerge w:val="continue"/>
            <w:vAlign w:val="center"/>
          </w:tcPr>
          <w:p>
            <w:pPr>
              <w:widowControl/>
              <w:jc w:val="left"/>
              <w:rPr>
                <w:rFonts w:cs="Times New Roman" w:asciiTheme="minorEastAsia" w:hAnsiTheme="minorEastAsia"/>
                <w:szCs w:val="21"/>
              </w:rPr>
            </w:pPr>
          </w:p>
        </w:tc>
        <w:tc>
          <w:tcPr>
            <w:tcW w:w="573" w:type="dxa"/>
            <w:vMerge w:val="continue"/>
            <w:vAlign w:val="center"/>
          </w:tcPr>
          <w:p>
            <w:pPr>
              <w:widowControl/>
              <w:jc w:val="left"/>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3"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课程学分</w:t>
            </w:r>
          </w:p>
        </w:tc>
        <w:tc>
          <w:tcPr>
            <w:tcW w:w="547"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26</w:t>
            </w:r>
          </w:p>
        </w:tc>
        <w:tc>
          <w:tcPr>
            <w:tcW w:w="520"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24</w:t>
            </w:r>
          </w:p>
        </w:tc>
        <w:tc>
          <w:tcPr>
            <w:tcW w:w="440"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26</w:t>
            </w:r>
          </w:p>
        </w:tc>
        <w:tc>
          <w:tcPr>
            <w:tcW w:w="573"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24</w:t>
            </w:r>
          </w:p>
        </w:tc>
        <w:tc>
          <w:tcPr>
            <w:tcW w:w="467"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16</w:t>
            </w:r>
          </w:p>
        </w:tc>
        <w:tc>
          <w:tcPr>
            <w:tcW w:w="607"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26</w:t>
            </w:r>
          </w:p>
        </w:tc>
        <w:tc>
          <w:tcPr>
            <w:tcW w:w="553"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26</w:t>
            </w:r>
          </w:p>
        </w:tc>
        <w:tc>
          <w:tcPr>
            <w:tcW w:w="627"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31</w:t>
            </w:r>
          </w:p>
        </w:tc>
        <w:tc>
          <w:tcPr>
            <w:tcW w:w="586"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25</w:t>
            </w:r>
          </w:p>
        </w:tc>
        <w:tc>
          <w:tcPr>
            <w:tcW w:w="560"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25</w:t>
            </w:r>
          </w:p>
        </w:tc>
        <w:tc>
          <w:tcPr>
            <w:tcW w:w="707"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10</w:t>
            </w:r>
          </w:p>
        </w:tc>
        <w:tc>
          <w:tcPr>
            <w:tcW w:w="709"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12</w:t>
            </w:r>
          </w:p>
        </w:tc>
        <w:tc>
          <w:tcPr>
            <w:tcW w:w="573"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3"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实践性课程</w:t>
            </w:r>
          </w:p>
        </w:tc>
        <w:tc>
          <w:tcPr>
            <w:tcW w:w="547" w:type="dxa"/>
            <w:vAlign w:val="center"/>
          </w:tcPr>
          <w:p>
            <w:pPr>
              <w:widowControl/>
              <w:jc w:val="center"/>
              <w:rPr>
                <w:rFonts w:cs="Times New Roman" w:asciiTheme="minorEastAsia" w:hAnsiTheme="minorEastAsia"/>
                <w:szCs w:val="21"/>
              </w:rPr>
            </w:pPr>
          </w:p>
        </w:tc>
        <w:tc>
          <w:tcPr>
            <w:tcW w:w="520" w:type="dxa"/>
            <w:vAlign w:val="center"/>
          </w:tcPr>
          <w:p>
            <w:pPr>
              <w:widowControl/>
              <w:jc w:val="center"/>
              <w:rPr>
                <w:rFonts w:cs="Times New Roman" w:asciiTheme="minorEastAsia" w:hAnsiTheme="minorEastAsia"/>
                <w:szCs w:val="21"/>
              </w:rPr>
            </w:pPr>
          </w:p>
        </w:tc>
        <w:tc>
          <w:tcPr>
            <w:tcW w:w="440" w:type="dxa"/>
            <w:vAlign w:val="center"/>
          </w:tcPr>
          <w:p>
            <w:pPr>
              <w:widowControl/>
              <w:jc w:val="center"/>
              <w:rPr>
                <w:rFonts w:cs="Times New Roman" w:asciiTheme="minorEastAsia" w:hAnsiTheme="minorEastAsia"/>
                <w:szCs w:val="21"/>
              </w:rPr>
            </w:pPr>
          </w:p>
        </w:tc>
        <w:tc>
          <w:tcPr>
            <w:tcW w:w="573" w:type="dxa"/>
            <w:vAlign w:val="center"/>
          </w:tcPr>
          <w:p>
            <w:pPr>
              <w:widowControl/>
              <w:jc w:val="center"/>
              <w:rPr>
                <w:rFonts w:cs="Times New Roman" w:asciiTheme="minorEastAsia" w:hAnsiTheme="minorEastAsia"/>
                <w:szCs w:val="21"/>
              </w:rPr>
            </w:pPr>
          </w:p>
        </w:tc>
        <w:tc>
          <w:tcPr>
            <w:tcW w:w="467"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18</w:t>
            </w:r>
          </w:p>
        </w:tc>
        <w:tc>
          <w:tcPr>
            <w:tcW w:w="607" w:type="dxa"/>
            <w:vAlign w:val="center"/>
          </w:tcPr>
          <w:p>
            <w:pPr>
              <w:widowControl/>
              <w:jc w:val="center"/>
              <w:rPr>
                <w:rFonts w:cs="Times New Roman" w:asciiTheme="minorEastAsia" w:hAnsiTheme="minorEastAsia"/>
                <w:szCs w:val="21"/>
              </w:rPr>
            </w:pPr>
          </w:p>
        </w:tc>
        <w:tc>
          <w:tcPr>
            <w:tcW w:w="553" w:type="dxa"/>
            <w:vAlign w:val="center"/>
          </w:tcPr>
          <w:p>
            <w:pPr>
              <w:widowControl/>
              <w:jc w:val="center"/>
              <w:rPr>
                <w:rFonts w:cs="Times New Roman" w:asciiTheme="minorEastAsia" w:hAnsiTheme="minorEastAsia"/>
                <w:szCs w:val="21"/>
              </w:rPr>
            </w:pPr>
          </w:p>
        </w:tc>
        <w:tc>
          <w:tcPr>
            <w:tcW w:w="627" w:type="dxa"/>
            <w:vAlign w:val="center"/>
          </w:tcPr>
          <w:p>
            <w:pPr>
              <w:widowControl/>
              <w:jc w:val="center"/>
              <w:rPr>
                <w:rFonts w:cs="Times New Roman" w:asciiTheme="minorEastAsia" w:hAnsiTheme="minorEastAsia"/>
                <w:szCs w:val="21"/>
              </w:rPr>
            </w:pPr>
          </w:p>
        </w:tc>
        <w:tc>
          <w:tcPr>
            <w:tcW w:w="586" w:type="dxa"/>
            <w:vAlign w:val="center"/>
          </w:tcPr>
          <w:p>
            <w:pPr>
              <w:widowControl/>
              <w:jc w:val="center"/>
              <w:rPr>
                <w:rFonts w:cs="Times New Roman" w:asciiTheme="minorEastAsia" w:hAnsiTheme="minorEastAsia"/>
                <w:szCs w:val="21"/>
              </w:rPr>
            </w:pPr>
          </w:p>
        </w:tc>
        <w:tc>
          <w:tcPr>
            <w:tcW w:w="560" w:type="dxa"/>
            <w:vAlign w:val="center"/>
          </w:tcPr>
          <w:p>
            <w:pPr>
              <w:widowControl/>
              <w:jc w:val="center"/>
              <w:rPr>
                <w:rFonts w:cs="Times New Roman" w:asciiTheme="minorEastAsia" w:hAnsiTheme="minorEastAsia"/>
                <w:szCs w:val="21"/>
              </w:rPr>
            </w:pPr>
          </w:p>
        </w:tc>
        <w:tc>
          <w:tcPr>
            <w:tcW w:w="707" w:type="dxa"/>
            <w:vAlign w:val="center"/>
          </w:tcPr>
          <w:p>
            <w:pPr>
              <w:widowControl/>
              <w:jc w:val="center"/>
              <w:rPr>
                <w:rFonts w:cs="Times New Roman" w:asciiTheme="minorEastAsia" w:hAnsiTheme="minorEastAsia"/>
                <w:szCs w:val="21"/>
              </w:rPr>
            </w:pPr>
          </w:p>
        </w:tc>
        <w:tc>
          <w:tcPr>
            <w:tcW w:w="709"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21</w:t>
            </w:r>
          </w:p>
        </w:tc>
        <w:tc>
          <w:tcPr>
            <w:tcW w:w="573" w:type="dxa"/>
            <w:vAlign w:val="center"/>
          </w:tcPr>
          <w:p>
            <w:pPr>
              <w:widowControl/>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3"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学术活动</w:t>
            </w:r>
          </w:p>
          <w:p>
            <w:pPr>
              <w:widowControl/>
              <w:jc w:val="center"/>
              <w:rPr>
                <w:rFonts w:cs="Times New Roman" w:asciiTheme="minorEastAsia" w:hAnsiTheme="minorEastAsia"/>
                <w:szCs w:val="21"/>
              </w:rPr>
            </w:pPr>
            <w:r>
              <w:rPr>
                <w:rFonts w:hint="eastAsia" w:cs="Times New Roman" w:asciiTheme="minorEastAsia" w:hAnsiTheme="minorEastAsia"/>
                <w:szCs w:val="21"/>
              </w:rPr>
              <w:t>（讲座）</w:t>
            </w:r>
          </w:p>
        </w:tc>
        <w:tc>
          <w:tcPr>
            <w:tcW w:w="547"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1</w:t>
            </w:r>
          </w:p>
        </w:tc>
        <w:tc>
          <w:tcPr>
            <w:tcW w:w="520"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1</w:t>
            </w:r>
          </w:p>
        </w:tc>
        <w:tc>
          <w:tcPr>
            <w:tcW w:w="440"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1</w:t>
            </w:r>
          </w:p>
        </w:tc>
        <w:tc>
          <w:tcPr>
            <w:tcW w:w="573"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1</w:t>
            </w:r>
          </w:p>
        </w:tc>
        <w:tc>
          <w:tcPr>
            <w:tcW w:w="467"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1</w:t>
            </w:r>
          </w:p>
        </w:tc>
        <w:tc>
          <w:tcPr>
            <w:tcW w:w="607"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1</w:t>
            </w:r>
          </w:p>
        </w:tc>
        <w:tc>
          <w:tcPr>
            <w:tcW w:w="553"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1</w:t>
            </w:r>
          </w:p>
        </w:tc>
        <w:tc>
          <w:tcPr>
            <w:tcW w:w="627"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2</w:t>
            </w:r>
          </w:p>
        </w:tc>
        <w:tc>
          <w:tcPr>
            <w:tcW w:w="586"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2</w:t>
            </w:r>
          </w:p>
        </w:tc>
        <w:tc>
          <w:tcPr>
            <w:tcW w:w="560"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2</w:t>
            </w:r>
          </w:p>
        </w:tc>
        <w:tc>
          <w:tcPr>
            <w:tcW w:w="707"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2</w:t>
            </w:r>
          </w:p>
        </w:tc>
        <w:tc>
          <w:tcPr>
            <w:tcW w:w="709"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2</w:t>
            </w:r>
          </w:p>
        </w:tc>
        <w:tc>
          <w:tcPr>
            <w:tcW w:w="573"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3"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开题报告</w:t>
            </w:r>
          </w:p>
        </w:tc>
        <w:tc>
          <w:tcPr>
            <w:tcW w:w="547" w:type="dxa"/>
            <w:vAlign w:val="center"/>
          </w:tcPr>
          <w:p>
            <w:pPr>
              <w:widowControl/>
              <w:jc w:val="center"/>
              <w:rPr>
                <w:rFonts w:cs="Times New Roman" w:asciiTheme="minorEastAsia" w:hAnsiTheme="minorEastAsia"/>
                <w:szCs w:val="21"/>
              </w:rPr>
            </w:pPr>
          </w:p>
        </w:tc>
        <w:tc>
          <w:tcPr>
            <w:tcW w:w="520" w:type="dxa"/>
            <w:vAlign w:val="center"/>
          </w:tcPr>
          <w:p>
            <w:pPr>
              <w:widowControl/>
              <w:jc w:val="center"/>
              <w:rPr>
                <w:rFonts w:cs="Times New Roman" w:asciiTheme="minorEastAsia" w:hAnsiTheme="minorEastAsia"/>
                <w:szCs w:val="21"/>
              </w:rPr>
            </w:pPr>
          </w:p>
        </w:tc>
        <w:tc>
          <w:tcPr>
            <w:tcW w:w="440" w:type="dxa"/>
            <w:vAlign w:val="center"/>
          </w:tcPr>
          <w:p>
            <w:pPr>
              <w:widowControl/>
              <w:jc w:val="center"/>
              <w:rPr>
                <w:rFonts w:cs="Times New Roman" w:asciiTheme="minorEastAsia" w:hAnsiTheme="minorEastAsia"/>
                <w:szCs w:val="21"/>
              </w:rPr>
            </w:pPr>
          </w:p>
        </w:tc>
        <w:tc>
          <w:tcPr>
            <w:tcW w:w="573" w:type="dxa"/>
            <w:vAlign w:val="center"/>
          </w:tcPr>
          <w:p>
            <w:pPr>
              <w:widowControl/>
              <w:jc w:val="center"/>
              <w:rPr>
                <w:rFonts w:cs="Times New Roman" w:asciiTheme="minorEastAsia" w:hAnsiTheme="minorEastAsia"/>
                <w:szCs w:val="21"/>
              </w:rPr>
            </w:pPr>
          </w:p>
        </w:tc>
        <w:tc>
          <w:tcPr>
            <w:tcW w:w="467" w:type="dxa"/>
            <w:vAlign w:val="center"/>
          </w:tcPr>
          <w:p>
            <w:pPr>
              <w:widowControl/>
              <w:jc w:val="center"/>
              <w:rPr>
                <w:rFonts w:cs="Times New Roman" w:asciiTheme="minorEastAsia" w:hAnsiTheme="minorEastAsia"/>
                <w:szCs w:val="21"/>
              </w:rPr>
            </w:pPr>
          </w:p>
        </w:tc>
        <w:tc>
          <w:tcPr>
            <w:tcW w:w="607" w:type="dxa"/>
            <w:vAlign w:val="center"/>
          </w:tcPr>
          <w:p>
            <w:pPr>
              <w:widowControl/>
              <w:jc w:val="center"/>
              <w:rPr>
                <w:rFonts w:cs="Times New Roman" w:asciiTheme="minorEastAsia" w:hAnsiTheme="minorEastAsia"/>
                <w:szCs w:val="21"/>
              </w:rPr>
            </w:pPr>
          </w:p>
        </w:tc>
        <w:tc>
          <w:tcPr>
            <w:tcW w:w="553" w:type="dxa"/>
            <w:vAlign w:val="center"/>
          </w:tcPr>
          <w:p>
            <w:pPr>
              <w:widowControl/>
              <w:jc w:val="center"/>
              <w:rPr>
                <w:rFonts w:cs="Times New Roman" w:asciiTheme="minorEastAsia" w:hAnsiTheme="minorEastAsia"/>
                <w:szCs w:val="21"/>
              </w:rPr>
            </w:pPr>
          </w:p>
        </w:tc>
        <w:tc>
          <w:tcPr>
            <w:tcW w:w="627"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2</w:t>
            </w:r>
          </w:p>
        </w:tc>
        <w:tc>
          <w:tcPr>
            <w:tcW w:w="586"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2</w:t>
            </w:r>
          </w:p>
        </w:tc>
        <w:tc>
          <w:tcPr>
            <w:tcW w:w="560"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2</w:t>
            </w:r>
          </w:p>
        </w:tc>
        <w:tc>
          <w:tcPr>
            <w:tcW w:w="707"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2</w:t>
            </w:r>
          </w:p>
        </w:tc>
        <w:tc>
          <w:tcPr>
            <w:tcW w:w="709"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2</w:t>
            </w:r>
          </w:p>
        </w:tc>
        <w:tc>
          <w:tcPr>
            <w:tcW w:w="573"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3"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社会实践</w:t>
            </w:r>
          </w:p>
        </w:tc>
        <w:tc>
          <w:tcPr>
            <w:tcW w:w="547"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1</w:t>
            </w:r>
          </w:p>
        </w:tc>
        <w:tc>
          <w:tcPr>
            <w:tcW w:w="520"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1</w:t>
            </w:r>
          </w:p>
        </w:tc>
        <w:tc>
          <w:tcPr>
            <w:tcW w:w="440"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1</w:t>
            </w:r>
          </w:p>
        </w:tc>
        <w:tc>
          <w:tcPr>
            <w:tcW w:w="573" w:type="dxa"/>
            <w:vAlign w:val="center"/>
          </w:tcPr>
          <w:p>
            <w:pPr>
              <w:widowControl/>
              <w:jc w:val="center"/>
              <w:rPr>
                <w:rFonts w:cs="Times New Roman" w:asciiTheme="minorEastAsia" w:hAnsiTheme="minorEastAsia"/>
                <w:szCs w:val="21"/>
              </w:rPr>
            </w:pPr>
          </w:p>
        </w:tc>
        <w:tc>
          <w:tcPr>
            <w:tcW w:w="467" w:type="dxa"/>
            <w:vAlign w:val="center"/>
          </w:tcPr>
          <w:p>
            <w:pPr>
              <w:widowControl/>
              <w:jc w:val="center"/>
              <w:rPr>
                <w:rFonts w:cs="Times New Roman" w:asciiTheme="minorEastAsia" w:hAnsiTheme="minorEastAsia"/>
                <w:szCs w:val="21"/>
              </w:rPr>
            </w:pPr>
          </w:p>
        </w:tc>
        <w:tc>
          <w:tcPr>
            <w:tcW w:w="607" w:type="dxa"/>
            <w:vAlign w:val="center"/>
          </w:tcPr>
          <w:p>
            <w:pPr>
              <w:widowControl/>
              <w:jc w:val="center"/>
              <w:rPr>
                <w:rFonts w:cs="Times New Roman" w:asciiTheme="minorEastAsia" w:hAnsiTheme="minorEastAsia"/>
                <w:szCs w:val="21"/>
              </w:rPr>
            </w:pPr>
          </w:p>
        </w:tc>
        <w:tc>
          <w:tcPr>
            <w:tcW w:w="553" w:type="dxa"/>
            <w:vAlign w:val="center"/>
          </w:tcPr>
          <w:p>
            <w:pPr>
              <w:widowControl/>
              <w:jc w:val="center"/>
              <w:rPr>
                <w:rFonts w:cs="Times New Roman" w:asciiTheme="minorEastAsia" w:hAnsiTheme="minorEastAsia"/>
                <w:szCs w:val="21"/>
              </w:rPr>
            </w:pPr>
          </w:p>
        </w:tc>
        <w:tc>
          <w:tcPr>
            <w:tcW w:w="627"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1</w:t>
            </w:r>
          </w:p>
        </w:tc>
        <w:tc>
          <w:tcPr>
            <w:tcW w:w="586"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1</w:t>
            </w:r>
          </w:p>
        </w:tc>
        <w:tc>
          <w:tcPr>
            <w:tcW w:w="560"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1</w:t>
            </w:r>
          </w:p>
        </w:tc>
        <w:tc>
          <w:tcPr>
            <w:tcW w:w="707"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1</w:t>
            </w:r>
          </w:p>
        </w:tc>
        <w:tc>
          <w:tcPr>
            <w:tcW w:w="709" w:type="dxa"/>
            <w:vAlign w:val="center"/>
          </w:tcPr>
          <w:p>
            <w:pPr>
              <w:widowControl/>
              <w:jc w:val="center"/>
              <w:rPr>
                <w:rFonts w:cs="Times New Roman" w:asciiTheme="minorEastAsia" w:hAnsiTheme="minorEastAsia"/>
                <w:szCs w:val="21"/>
              </w:rPr>
            </w:pPr>
          </w:p>
        </w:tc>
        <w:tc>
          <w:tcPr>
            <w:tcW w:w="573" w:type="dxa"/>
            <w:vAlign w:val="center"/>
          </w:tcPr>
          <w:p>
            <w:pPr>
              <w:widowControl/>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3"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中期考核</w:t>
            </w:r>
          </w:p>
        </w:tc>
        <w:tc>
          <w:tcPr>
            <w:tcW w:w="547"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3</w:t>
            </w:r>
          </w:p>
        </w:tc>
        <w:tc>
          <w:tcPr>
            <w:tcW w:w="520"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3</w:t>
            </w:r>
          </w:p>
        </w:tc>
        <w:tc>
          <w:tcPr>
            <w:tcW w:w="440"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3</w:t>
            </w:r>
          </w:p>
        </w:tc>
        <w:tc>
          <w:tcPr>
            <w:tcW w:w="573"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3</w:t>
            </w:r>
          </w:p>
        </w:tc>
        <w:tc>
          <w:tcPr>
            <w:tcW w:w="467"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3</w:t>
            </w:r>
          </w:p>
        </w:tc>
        <w:tc>
          <w:tcPr>
            <w:tcW w:w="607"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3</w:t>
            </w:r>
          </w:p>
        </w:tc>
        <w:tc>
          <w:tcPr>
            <w:tcW w:w="553"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3</w:t>
            </w:r>
          </w:p>
        </w:tc>
        <w:tc>
          <w:tcPr>
            <w:tcW w:w="627"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6</w:t>
            </w:r>
          </w:p>
        </w:tc>
        <w:tc>
          <w:tcPr>
            <w:tcW w:w="586"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6</w:t>
            </w:r>
          </w:p>
        </w:tc>
        <w:tc>
          <w:tcPr>
            <w:tcW w:w="560"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6</w:t>
            </w:r>
          </w:p>
        </w:tc>
        <w:tc>
          <w:tcPr>
            <w:tcW w:w="707"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6</w:t>
            </w:r>
          </w:p>
        </w:tc>
        <w:tc>
          <w:tcPr>
            <w:tcW w:w="709"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6</w:t>
            </w:r>
          </w:p>
        </w:tc>
        <w:tc>
          <w:tcPr>
            <w:tcW w:w="573"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3"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两助一辅</w:t>
            </w:r>
          </w:p>
        </w:tc>
        <w:tc>
          <w:tcPr>
            <w:tcW w:w="547" w:type="dxa"/>
            <w:vAlign w:val="center"/>
          </w:tcPr>
          <w:p>
            <w:pPr>
              <w:widowControl/>
              <w:jc w:val="center"/>
              <w:rPr>
                <w:rFonts w:cs="Times New Roman" w:asciiTheme="minorEastAsia" w:hAnsiTheme="minorEastAsia"/>
                <w:szCs w:val="21"/>
              </w:rPr>
            </w:pPr>
          </w:p>
        </w:tc>
        <w:tc>
          <w:tcPr>
            <w:tcW w:w="520" w:type="dxa"/>
            <w:vAlign w:val="center"/>
          </w:tcPr>
          <w:p>
            <w:pPr>
              <w:widowControl/>
              <w:jc w:val="center"/>
              <w:rPr>
                <w:rFonts w:cs="Times New Roman" w:asciiTheme="minorEastAsia" w:hAnsiTheme="minorEastAsia"/>
                <w:szCs w:val="21"/>
              </w:rPr>
            </w:pPr>
          </w:p>
        </w:tc>
        <w:tc>
          <w:tcPr>
            <w:tcW w:w="440" w:type="dxa"/>
            <w:vAlign w:val="center"/>
          </w:tcPr>
          <w:p>
            <w:pPr>
              <w:widowControl/>
              <w:jc w:val="center"/>
              <w:rPr>
                <w:rFonts w:cs="Times New Roman" w:asciiTheme="minorEastAsia" w:hAnsiTheme="minorEastAsia"/>
                <w:szCs w:val="21"/>
              </w:rPr>
            </w:pPr>
          </w:p>
        </w:tc>
        <w:tc>
          <w:tcPr>
            <w:tcW w:w="573" w:type="dxa"/>
            <w:vAlign w:val="center"/>
          </w:tcPr>
          <w:p>
            <w:pPr>
              <w:widowControl/>
              <w:jc w:val="center"/>
              <w:rPr>
                <w:rFonts w:cs="Times New Roman" w:asciiTheme="minorEastAsia" w:hAnsiTheme="minorEastAsia"/>
                <w:szCs w:val="21"/>
              </w:rPr>
            </w:pPr>
          </w:p>
        </w:tc>
        <w:tc>
          <w:tcPr>
            <w:tcW w:w="467" w:type="dxa"/>
            <w:vAlign w:val="center"/>
          </w:tcPr>
          <w:p>
            <w:pPr>
              <w:widowControl/>
              <w:jc w:val="center"/>
              <w:rPr>
                <w:rFonts w:cs="Times New Roman" w:asciiTheme="minorEastAsia" w:hAnsiTheme="minorEastAsia"/>
                <w:szCs w:val="21"/>
              </w:rPr>
            </w:pPr>
          </w:p>
        </w:tc>
        <w:tc>
          <w:tcPr>
            <w:tcW w:w="607" w:type="dxa"/>
            <w:vAlign w:val="center"/>
          </w:tcPr>
          <w:p>
            <w:pPr>
              <w:widowControl/>
              <w:jc w:val="center"/>
              <w:rPr>
                <w:rFonts w:cs="Times New Roman" w:asciiTheme="minorEastAsia" w:hAnsiTheme="minorEastAsia"/>
                <w:szCs w:val="21"/>
              </w:rPr>
            </w:pPr>
          </w:p>
        </w:tc>
        <w:tc>
          <w:tcPr>
            <w:tcW w:w="553" w:type="dxa"/>
            <w:vAlign w:val="center"/>
          </w:tcPr>
          <w:p>
            <w:pPr>
              <w:widowControl/>
              <w:jc w:val="center"/>
              <w:rPr>
                <w:rFonts w:cs="Times New Roman" w:asciiTheme="minorEastAsia" w:hAnsiTheme="minorEastAsia"/>
                <w:szCs w:val="21"/>
              </w:rPr>
            </w:pPr>
          </w:p>
        </w:tc>
        <w:tc>
          <w:tcPr>
            <w:tcW w:w="627"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2</w:t>
            </w:r>
          </w:p>
        </w:tc>
        <w:tc>
          <w:tcPr>
            <w:tcW w:w="586"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2</w:t>
            </w:r>
          </w:p>
        </w:tc>
        <w:tc>
          <w:tcPr>
            <w:tcW w:w="560"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2</w:t>
            </w:r>
          </w:p>
        </w:tc>
        <w:tc>
          <w:tcPr>
            <w:tcW w:w="707"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2</w:t>
            </w:r>
          </w:p>
        </w:tc>
        <w:tc>
          <w:tcPr>
            <w:tcW w:w="709"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2</w:t>
            </w:r>
          </w:p>
        </w:tc>
        <w:tc>
          <w:tcPr>
            <w:tcW w:w="573" w:type="dxa"/>
            <w:vAlign w:val="center"/>
          </w:tcPr>
          <w:p>
            <w:pPr>
              <w:widowControl/>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3"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基金撰写</w:t>
            </w:r>
          </w:p>
        </w:tc>
        <w:tc>
          <w:tcPr>
            <w:tcW w:w="547" w:type="dxa"/>
            <w:vAlign w:val="center"/>
          </w:tcPr>
          <w:p>
            <w:pPr>
              <w:widowControl/>
              <w:jc w:val="center"/>
              <w:rPr>
                <w:rFonts w:cs="Times New Roman" w:asciiTheme="minorEastAsia" w:hAnsiTheme="minorEastAsia"/>
                <w:szCs w:val="21"/>
              </w:rPr>
            </w:pPr>
          </w:p>
        </w:tc>
        <w:tc>
          <w:tcPr>
            <w:tcW w:w="520" w:type="dxa"/>
            <w:vAlign w:val="center"/>
          </w:tcPr>
          <w:p>
            <w:pPr>
              <w:widowControl/>
              <w:jc w:val="center"/>
              <w:rPr>
                <w:rFonts w:cs="Times New Roman" w:asciiTheme="minorEastAsia" w:hAnsiTheme="minorEastAsia"/>
                <w:szCs w:val="21"/>
              </w:rPr>
            </w:pPr>
          </w:p>
        </w:tc>
        <w:tc>
          <w:tcPr>
            <w:tcW w:w="440" w:type="dxa"/>
            <w:vAlign w:val="center"/>
          </w:tcPr>
          <w:p>
            <w:pPr>
              <w:widowControl/>
              <w:jc w:val="center"/>
              <w:rPr>
                <w:rFonts w:cs="Times New Roman" w:asciiTheme="minorEastAsia" w:hAnsiTheme="minorEastAsia"/>
                <w:szCs w:val="21"/>
              </w:rPr>
            </w:pPr>
          </w:p>
        </w:tc>
        <w:tc>
          <w:tcPr>
            <w:tcW w:w="573" w:type="dxa"/>
            <w:vAlign w:val="center"/>
          </w:tcPr>
          <w:p>
            <w:pPr>
              <w:widowControl/>
              <w:jc w:val="center"/>
              <w:rPr>
                <w:rFonts w:cs="Times New Roman" w:asciiTheme="minorEastAsia" w:hAnsiTheme="minorEastAsia"/>
                <w:szCs w:val="21"/>
              </w:rPr>
            </w:pPr>
          </w:p>
        </w:tc>
        <w:tc>
          <w:tcPr>
            <w:tcW w:w="467" w:type="dxa"/>
            <w:vAlign w:val="center"/>
          </w:tcPr>
          <w:p>
            <w:pPr>
              <w:widowControl/>
              <w:jc w:val="center"/>
              <w:rPr>
                <w:rFonts w:cs="Times New Roman" w:asciiTheme="minorEastAsia" w:hAnsiTheme="minorEastAsia"/>
                <w:szCs w:val="21"/>
              </w:rPr>
            </w:pPr>
          </w:p>
        </w:tc>
        <w:tc>
          <w:tcPr>
            <w:tcW w:w="607" w:type="dxa"/>
            <w:vAlign w:val="center"/>
          </w:tcPr>
          <w:p>
            <w:pPr>
              <w:widowControl/>
              <w:jc w:val="center"/>
              <w:rPr>
                <w:rFonts w:cs="Times New Roman" w:asciiTheme="minorEastAsia" w:hAnsiTheme="minorEastAsia"/>
                <w:szCs w:val="21"/>
              </w:rPr>
            </w:pPr>
          </w:p>
        </w:tc>
        <w:tc>
          <w:tcPr>
            <w:tcW w:w="553" w:type="dxa"/>
            <w:vAlign w:val="center"/>
          </w:tcPr>
          <w:p>
            <w:pPr>
              <w:widowControl/>
              <w:jc w:val="center"/>
              <w:rPr>
                <w:rFonts w:cs="Times New Roman" w:asciiTheme="minorEastAsia" w:hAnsiTheme="minorEastAsia"/>
                <w:szCs w:val="21"/>
              </w:rPr>
            </w:pPr>
          </w:p>
        </w:tc>
        <w:tc>
          <w:tcPr>
            <w:tcW w:w="627"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1</w:t>
            </w:r>
          </w:p>
        </w:tc>
        <w:tc>
          <w:tcPr>
            <w:tcW w:w="586"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1</w:t>
            </w:r>
          </w:p>
        </w:tc>
        <w:tc>
          <w:tcPr>
            <w:tcW w:w="560"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1</w:t>
            </w:r>
          </w:p>
        </w:tc>
        <w:tc>
          <w:tcPr>
            <w:tcW w:w="707"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1</w:t>
            </w:r>
          </w:p>
        </w:tc>
        <w:tc>
          <w:tcPr>
            <w:tcW w:w="709"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1</w:t>
            </w:r>
          </w:p>
        </w:tc>
        <w:tc>
          <w:tcPr>
            <w:tcW w:w="573" w:type="dxa"/>
            <w:vAlign w:val="center"/>
          </w:tcPr>
          <w:p>
            <w:pPr>
              <w:widowControl/>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3"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科技或工程报告撰写</w:t>
            </w:r>
          </w:p>
        </w:tc>
        <w:tc>
          <w:tcPr>
            <w:tcW w:w="547" w:type="dxa"/>
            <w:vAlign w:val="center"/>
          </w:tcPr>
          <w:p>
            <w:pPr>
              <w:widowControl/>
              <w:jc w:val="center"/>
              <w:rPr>
                <w:rFonts w:cs="Times New Roman" w:asciiTheme="minorEastAsia" w:hAnsiTheme="minorEastAsia"/>
                <w:szCs w:val="21"/>
              </w:rPr>
            </w:pPr>
          </w:p>
        </w:tc>
        <w:tc>
          <w:tcPr>
            <w:tcW w:w="520" w:type="dxa"/>
            <w:vAlign w:val="center"/>
          </w:tcPr>
          <w:p>
            <w:pPr>
              <w:widowControl/>
              <w:jc w:val="center"/>
              <w:rPr>
                <w:rFonts w:cs="Times New Roman" w:asciiTheme="minorEastAsia" w:hAnsiTheme="minorEastAsia"/>
                <w:szCs w:val="21"/>
              </w:rPr>
            </w:pPr>
          </w:p>
        </w:tc>
        <w:tc>
          <w:tcPr>
            <w:tcW w:w="440" w:type="dxa"/>
            <w:vAlign w:val="center"/>
          </w:tcPr>
          <w:p>
            <w:pPr>
              <w:widowControl/>
              <w:jc w:val="center"/>
              <w:rPr>
                <w:rFonts w:cs="Times New Roman" w:asciiTheme="minorEastAsia" w:hAnsiTheme="minorEastAsia"/>
                <w:szCs w:val="21"/>
              </w:rPr>
            </w:pPr>
          </w:p>
        </w:tc>
        <w:tc>
          <w:tcPr>
            <w:tcW w:w="573" w:type="dxa"/>
            <w:vAlign w:val="center"/>
          </w:tcPr>
          <w:p>
            <w:pPr>
              <w:widowControl/>
              <w:jc w:val="center"/>
              <w:rPr>
                <w:rFonts w:cs="Times New Roman" w:asciiTheme="minorEastAsia" w:hAnsiTheme="minorEastAsia"/>
                <w:szCs w:val="21"/>
              </w:rPr>
            </w:pPr>
          </w:p>
        </w:tc>
        <w:tc>
          <w:tcPr>
            <w:tcW w:w="467" w:type="dxa"/>
            <w:vAlign w:val="center"/>
          </w:tcPr>
          <w:p>
            <w:pPr>
              <w:widowControl/>
              <w:jc w:val="center"/>
              <w:rPr>
                <w:rFonts w:cs="Times New Roman" w:asciiTheme="minorEastAsia" w:hAnsiTheme="minorEastAsia"/>
                <w:szCs w:val="21"/>
              </w:rPr>
            </w:pPr>
          </w:p>
        </w:tc>
        <w:tc>
          <w:tcPr>
            <w:tcW w:w="607" w:type="dxa"/>
            <w:vAlign w:val="center"/>
          </w:tcPr>
          <w:p>
            <w:pPr>
              <w:widowControl/>
              <w:jc w:val="center"/>
              <w:rPr>
                <w:rFonts w:cs="Times New Roman" w:asciiTheme="minorEastAsia" w:hAnsiTheme="minorEastAsia"/>
                <w:szCs w:val="21"/>
              </w:rPr>
            </w:pPr>
          </w:p>
        </w:tc>
        <w:tc>
          <w:tcPr>
            <w:tcW w:w="553" w:type="dxa"/>
            <w:vAlign w:val="center"/>
          </w:tcPr>
          <w:p>
            <w:pPr>
              <w:widowControl/>
              <w:jc w:val="center"/>
              <w:rPr>
                <w:rFonts w:cs="Times New Roman" w:asciiTheme="minorEastAsia" w:hAnsiTheme="minorEastAsia"/>
                <w:szCs w:val="21"/>
              </w:rPr>
            </w:pPr>
          </w:p>
        </w:tc>
        <w:tc>
          <w:tcPr>
            <w:tcW w:w="627" w:type="dxa"/>
            <w:vAlign w:val="center"/>
          </w:tcPr>
          <w:p>
            <w:pPr>
              <w:widowControl/>
              <w:jc w:val="center"/>
              <w:rPr>
                <w:rFonts w:cs="Times New Roman" w:asciiTheme="minorEastAsia" w:hAnsiTheme="minorEastAsia"/>
                <w:szCs w:val="21"/>
              </w:rPr>
            </w:pPr>
          </w:p>
        </w:tc>
        <w:tc>
          <w:tcPr>
            <w:tcW w:w="586" w:type="dxa"/>
            <w:vAlign w:val="center"/>
          </w:tcPr>
          <w:p>
            <w:pPr>
              <w:widowControl/>
              <w:jc w:val="center"/>
              <w:rPr>
                <w:rFonts w:cs="Times New Roman" w:asciiTheme="minorEastAsia" w:hAnsiTheme="minorEastAsia"/>
                <w:szCs w:val="21"/>
              </w:rPr>
            </w:pPr>
          </w:p>
        </w:tc>
        <w:tc>
          <w:tcPr>
            <w:tcW w:w="560" w:type="dxa"/>
            <w:vAlign w:val="center"/>
          </w:tcPr>
          <w:p>
            <w:pPr>
              <w:widowControl/>
              <w:jc w:val="center"/>
              <w:rPr>
                <w:rFonts w:cs="Times New Roman" w:asciiTheme="minorEastAsia" w:hAnsiTheme="minorEastAsia"/>
                <w:szCs w:val="21"/>
              </w:rPr>
            </w:pPr>
          </w:p>
        </w:tc>
        <w:tc>
          <w:tcPr>
            <w:tcW w:w="707" w:type="dxa"/>
            <w:vAlign w:val="center"/>
          </w:tcPr>
          <w:p>
            <w:pPr>
              <w:widowControl/>
              <w:jc w:val="center"/>
              <w:rPr>
                <w:rFonts w:cs="Times New Roman" w:asciiTheme="minorEastAsia" w:hAnsiTheme="minorEastAsia"/>
                <w:szCs w:val="21"/>
              </w:rPr>
            </w:pPr>
          </w:p>
        </w:tc>
        <w:tc>
          <w:tcPr>
            <w:tcW w:w="709" w:type="dxa"/>
            <w:vAlign w:val="center"/>
          </w:tcPr>
          <w:p>
            <w:pPr>
              <w:widowControl/>
              <w:jc w:val="center"/>
              <w:rPr>
                <w:rFonts w:cs="Times New Roman" w:asciiTheme="minorEastAsia" w:hAnsiTheme="minorEastAsia"/>
                <w:szCs w:val="21"/>
              </w:rPr>
            </w:pPr>
          </w:p>
        </w:tc>
        <w:tc>
          <w:tcPr>
            <w:tcW w:w="573"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3"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学科基础文献集阅读</w:t>
            </w:r>
          </w:p>
        </w:tc>
        <w:tc>
          <w:tcPr>
            <w:tcW w:w="547" w:type="dxa"/>
            <w:vAlign w:val="center"/>
          </w:tcPr>
          <w:p>
            <w:pPr>
              <w:widowControl/>
              <w:jc w:val="center"/>
              <w:rPr>
                <w:rFonts w:cs="Times New Roman" w:asciiTheme="minorEastAsia" w:hAnsiTheme="minorEastAsia"/>
                <w:szCs w:val="21"/>
              </w:rPr>
            </w:pPr>
          </w:p>
        </w:tc>
        <w:tc>
          <w:tcPr>
            <w:tcW w:w="520" w:type="dxa"/>
            <w:vAlign w:val="center"/>
          </w:tcPr>
          <w:p>
            <w:pPr>
              <w:widowControl/>
              <w:jc w:val="center"/>
              <w:rPr>
                <w:rFonts w:cs="Times New Roman" w:asciiTheme="minorEastAsia" w:hAnsiTheme="minorEastAsia"/>
                <w:szCs w:val="21"/>
              </w:rPr>
            </w:pPr>
          </w:p>
        </w:tc>
        <w:tc>
          <w:tcPr>
            <w:tcW w:w="440" w:type="dxa"/>
            <w:vAlign w:val="center"/>
          </w:tcPr>
          <w:p>
            <w:pPr>
              <w:widowControl/>
              <w:jc w:val="center"/>
              <w:rPr>
                <w:rFonts w:cs="Times New Roman" w:asciiTheme="minorEastAsia" w:hAnsiTheme="minorEastAsia"/>
                <w:szCs w:val="21"/>
              </w:rPr>
            </w:pPr>
          </w:p>
        </w:tc>
        <w:tc>
          <w:tcPr>
            <w:tcW w:w="573" w:type="dxa"/>
            <w:vAlign w:val="center"/>
          </w:tcPr>
          <w:p>
            <w:pPr>
              <w:widowControl/>
              <w:jc w:val="center"/>
              <w:rPr>
                <w:rFonts w:cs="Times New Roman" w:asciiTheme="minorEastAsia" w:hAnsiTheme="minorEastAsia"/>
                <w:szCs w:val="21"/>
              </w:rPr>
            </w:pPr>
          </w:p>
        </w:tc>
        <w:tc>
          <w:tcPr>
            <w:tcW w:w="467" w:type="dxa"/>
            <w:vAlign w:val="center"/>
          </w:tcPr>
          <w:p>
            <w:pPr>
              <w:widowControl/>
              <w:jc w:val="center"/>
              <w:rPr>
                <w:rFonts w:cs="Times New Roman" w:asciiTheme="minorEastAsia" w:hAnsiTheme="minorEastAsia"/>
                <w:szCs w:val="21"/>
              </w:rPr>
            </w:pPr>
          </w:p>
        </w:tc>
        <w:tc>
          <w:tcPr>
            <w:tcW w:w="607" w:type="dxa"/>
            <w:vAlign w:val="center"/>
          </w:tcPr>
          <w:p>
            <w:pPr>
              <w:widowControl/>
              <w:jc w:val="center"/>
              <w:rPr>
                <w:rFonts w:cs="Times New Roman" w:asciiTheme="minorEastAsia" w:hAnsiTheme="minorEastAsia"/>
                <w:szCs w:val="21"/>
              </w:rPr>
            </w:pPr>
          </w:p>
        </w:tc>
        <w:tc>
          <w:tcPr>
            <w:tcW w:w="553" w:type="dxa"/>
            <w:vAlign w:val="center"/>
          </w:tcPr>
          <w:p>
            <w:pPr>
              <w:widowControl/>
              <w:jc w:val="center"/>
              <w:rPr>
                <w:rFonts w:cs="Times New Roman" w:asciiTheme="minorEastAsia" w:hAnsiTheme="minorEastAsia"/>
                <w:szCs w:val="21"/>
              </w:rPr>
            </w:pPr>
          </w:p>
        </w:tc>
        <w:tc>
          <w:tcPr>
            <w:tcW w:w="627"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2</w:t>
            </w:r>
          </w:p>
        </w:tc>
        <w:tc>
          <w:tcPr>
            <w:tcW w:w="586"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2</w:t>
            </w:r>
          </w:p>
        </w:tc>
        <w:tc>
          <w:tcPr>
            <w:tcW w:w="560"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2</w:t>
            </w:r>
          </w:p>
        </w:tc>
        <w:tc>
          <w:tcPr>
            <w:tcW w:w="707"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2</w:t>
            </w:r>
          </w:p>
        </w:tc>
        <w:tc>
          <w:tcPr>
            <w:tcW w:w="709"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2</w:t>
            </w:r>
          </w:p>
        </w:tc>
        <w:tc>
          <w:tcPr>
            <w:tcW w:w="573" w:type="dxa"/>
            <w:vAlign w:val="center"/>
          </w:tcPr>
          <w:p>
            <w:pPr>
              <w:widowControl/>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3"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国际化交流</w:t>
            </w:r>
          </w:p>
        </w:tc>
        <w:tc>
          <w:tcPr>
            <w:tcW w:w="547" w:type="dxa"/>
            <w:vAlign w:val="center"/>
          </w:tcPr>
          <w:p>
            <w:pPr>
              <w:widowControl/>
              <w:jc w:val="center"/>
              <w:rPr>
                <w:rFonts w:cs="Times New Roman" w:asciiTheme="minorEastAsia" w:hAnsiTheme="minorEastAsia"/>
                <w:szCs w:val="21"/>
              </w:rPr>
            </w:pPr>
          </w:p>
        </w:tc>
        <w:tc>
          <w:tcPr>
            <w:tcW w:w="520" w:type="dxa"/>
            <w:vAlign w:val="center"/>
          </w:tcPr>
          <w:p>
            <w:pPr>
              <w:widowControl/>
              <w:jc w:val="center"/>
              <w:rPr>
                <w:rFonts w:cs="Times New Roman" w:asciiTheme="minorEastAsia" w:hAnsiTheme="minorEastAsia"/>
                <w:szCs w:val="21"/>
              </w:rPr>
            </w:pPr>
          </w:p>
        </w:tc>
        <w:tc>
          <w:tcPr>
            <w:tcW w:w="440" w:type="dxa"/>
            <w:vAlign w:val="center"/>
          </w:tcPr>
          <w:p>
            <w:pPr>
              <w:widowControl/>
              <w:jc w:val="center"/>
              <w:rPr>
                <w:rFonts w:cs="Times New Roman" w:asciiTheme="minorEastAsia" w:hAnsiTheme="minorEastAsia"/>
                <w:szCs w:val="21"/>
              </w:rPr>
            </w:pPr>
          </w:p>
        </w:tc>
        <w:tc>
          <w:tcPr>
            <w:tcW w:w="573" w:type="dxa"/>
            <w:vAlign w:val="center"/>
          </w:tcPr>
          <w:p>
            <w:pPr>
              <w:widowControl/>
              <w:jc w:val="center"/>
              <w:rPr>
                <w:rFonts w:cs="Times New Roman" w:asciiTheme="minorEastAsia" w:hAnsiTheme="minorEastAsia"/>
                <w:szCs w:val="21"/>
              </w:rPr>
            </w:pPr>
          </w:p>
        </w:tc>
        <w:tc>
          <w:tcPr>
            <w:tcW w:w="467" w:type="dxa"/>
            <w:vAlign w:val="center"/>
          </w:tcPr>
          <w:p>
            <w:pPr>
              <w:widowControl/>
              <w:jc w:val="center"/>
              <w:rPr>
                <w:rFonts w:cs="Times New Roman" w:asciiTheme="minorEastAsia" w:hAnsiTheme="minorEastAsia"/>
                <w:szCs w:val="21"/>
              </w:rPr>
            </w:pPr>
          </w:p>
        </w:tc>
        <w:tc>
          <w:tcPr>
            <w:tcW w:w="607" w:type="dxa"/>
            <w:vAlign w:val="center"/>
          </w:tcPr>
          <w:p>
            <w:pPr>
              <w:widowControl/>
              <w:jc w:val="center"/>
              <w:rPr>
                <w:rFonts w:cs="Times New Roman" w:asciiTheme="minorEastAsia" w:hAnsiTheme="minorEastAsia"/>
                <w:szCs w:val="21"/>
              </w:rPr>
            </w:pPr>
          </w:p>
        </w:tc>
        <w:tc>
          <w:tcPr>
            <w:tcW w:w="553" w:type="dxa"/>
            <w:vAlign w:val="center"/>
          </w:tcPr>
          <w:p>
            <w:pPr>
              <w:widowControl/>
              <w:jc w:val="center"/>
              <w:rPr>
                <w:rFonts w:cs="Times New Roman" w:asciiTheme="minorEastAsia" w:hAnsiTheme="minorEastAsia"/>
                <w:szCs w:val="21"/>
              </w:rPr>
            </w:pPr>
          </w:p>
        </w:tc>
        <w:tc>
          <w:tcPr>
            <w:tcW w:w="627"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1</w:t>
            </w:r>
          </w:p>
        </w:tc>
        <w:tc>
          <w:tcPr>
            <w:tcW w:w="586"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1</w:t>
            </w:r>
          </w:p>
        </w:tc>
        <w:tc>
          <w:tcPr>
            <w:tcW w:w="560"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1</w:t>
            </w:r>
          </w:p>
        </w:tc>
        <w:tc>
          <w:tcPr>
            <w:tcW w:w="707"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1</w:t>
            </w:r>
          </w:p>
        </w:tc>
        <w:tc>
          <w:tcPr>
            <w:tcW w:w="709"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1</w:t>
            </w:r>
          </w:p>
        </w:tc>
        <w:tc>
          <w:tcPr>
            <w:tcW w:w="573" w:type="dxa"/>
            <w:vAlign w:val="center"/>
          </w:tcPr>
          <w:p>
            <w:pPr>
              <w:widowControl/>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3"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专业实践</w:t>
            </w:r>
          </w:p>
        </w:tc>
        <w:tc>
          <w:tcPr>
            <w:tcW w:w="547" w:type="dxa"/>
            <w:vAlign w:val="center"/>
          </w:tcPr>
          <w:p>
            <w:pPr>
              <w:widowControl/>
              <w:jc w:val="center"/>
              <w:rPr>
                <w:rFonts w:cs="Times New Roman" w:asciiTheme="minorEastAsia" w:hAnsiTheme="minorEastAsia"/>
                <w:szCs w:val="21"/>
              </w:rPr>
            </w:pPr>
          </w:p>
        </w:tc>
        <w:tc>
          <w:tcPr>
            <w:tcW w:w="520" w:type="dxa"/>
            <w:vAlign w:val="center"/>
          </w:tcPr>
          <w:p>
            <w:pPr>
              <w:widowControl/>
              <w:jc w:val="center"/>
              <w:rPr>
                <w:rFonts w:cs="Times New Roman" w:asciiTheme="minorEastAsia" w:hAnsiTheme="minorEastAsia"/>
                <w:szCs w:val="21"/>
              </w:rPr>
            </w:pPr>
          </w:p>
        </w:tc>
        <w:tc>
          <w:tcPr>
            <w:tcW w:w="440" w:type="dxa"/>
            <w:vAlign w:val="center"/>
          </w:tcPr>
          <w:p>
            <w:pPr>
              <w:widowControl/>
              <w:jc w:val="center"/>
              <w:rPr>
                <w:rFonts w:cs="Times New Roman" w:asciiTheme="minorEastAsia" w:hAnsiTheme="minorEastAsia"/>
                <w:szCs w:val="21"/>
              </w:rPr>
            </w:pPr>
          </w:p>
        </w:tc>
        <w:tc>
          <w:tcPr>
            <w:tcW w:w="573"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8</w:t>
            </w:r>
          </w:p>
        </w:tc>
        <w:tc>
          <w:tcPr>
            <w:tcW w:w="467" w:type="dxa"/>
            <w:vAlign w:val="center"/>
          </w:tcPr>
          <w:p>
            <w:pPr>
              <w:widowControl/>
              <w:jc w:val="center"/>
              <w:rPr>
                <w:rFonts w:cs="Times New Roman" w:asciiTheme="minorEastAsia" w:hAnsiTheme="minorEastAsia"/>
                <w:szCs w:val="21"/>
              </w:rPr>
            </w:pPr>
          </w:p>
        </w:tc>
        <w:tc>
          <w:tcPr>
            <w:tcW w:w="607"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8</w:t>
            </w:r>
          </w:p>
        </w:tc>
        <w:tc>
          <w:tcPr>
            <w:tcW w:w="553" w:type="dxa"/>
            <w:vAlign w:val="center"/>
          </w:tcPr>
          <w:p>
            <w:pPr>
              <w:widowControl/>
              <w:jc w:val="center"/>
              <w:rPr>
                <w:rFonts w:cs="Times New Roman" w:asciiTheme="minorEastAsia" w:hAnsiTheme="minorEastAsia"/>
                <w:szCs w:val="21"/>
              </w:rPr>
            </w:pPr>
          </w:p>
        </w:tc>
        <w:tc>
          <w:tcPr>
            <w:tcW w:w="627" w:type="dxa"/>
            <w:vAlign w:val="center"/>
          </w:tcPr>
          <w:p>
            <w:pPr>
              <w:widowControl/>
              <w:jc w:val="center"/>
              <w:rPr>
                <w:rFonts w:cs="Times New Roman" w:asciiTheme="minorEastAsia" w:hAnsiTheme="minorEastAsia"/>
                <w:szCs w:val="21"/>
              </w:rPr>
            </w:pPr>
          </w:p>
        </w:tc>
        <w:tc>
          <w:tcPr>
            <w:tcW w:w="586" w:type="dxa"/>
            <w:vAlign w:val="center"/>
          </w:tcPr>
          <w:p>
            <w:pPr>
              <w:widowControl/>
              <w:jc w:val="center"/>
              <w:rPr>
                <w:rFonts w:cs="Times New Roman" w:asciiTheme="minorEastAsia" w:hAnsiTheme="minorEastAsia"/>
                <w:szCs w:val="21"/>
              </w:rPr>
            </w:pPr>
          </w:p>
        </w:tc>
        <w:tc>
          <w:tcPr>
            <w:tcW w:w="560" w:type="dxa"/>
            <w:vAlign w:val="center"/>
          </w:tcPr>
          <w:p>
            <w:pPr>
              <w:widowControl/>
              <w:jc w:val="center"/>
              <w:rPr>
                <w:rFonts w:cs="Times New Roman" w:asciiTheme="minorEastAsia" w:hAnsiTheme="minorEastAsia"/>
                <w:szCs w:val="21"/>
              </w:rPr>
            </w:pPr>
          </w:p>
        </w:tc>
        <w:tc>
          <w:tcPr>
            <w:tcW w:w="707" w:type="dxa"/>
            <w:vAlign w:val="center"/>
          </w:tcPr>
          <w:p>
            <w:pPr>
              <w:widowControl/>
              <w:jc w:val="center"/>
              <w:rPr>
                <w:rFonts w:cs="Times New Roman" w:asciiTheme="minorEastAsia" w:hAnsiTheme="minorEastAsia"/>
                <w:szCs w:val="21"/>
              </w:rPr>
            </w:pPr>
          </w:p>
        </w:tc>
        <w:tc>
          <w:tcPr>
            <w:tcW w:w="709" w:type="dxa"/>
            <w:vAlign w:val="center"/>
          </w:tcPr>
          <w:p>
            <w:pPr>
              <w:widowControl/>
              <w:jc w:val="center"/>
              <w:rPr>
                <w:rFonts w:cs="Times New Roman" w:asciiTheme="minorEastAsia" w:hAnsiTheme="minorEastAsia"/>
                <w:szCs w:val="21"/>
              </w:rPr>
            </w:pPr>
          </w:p>
        </w:tc>
        <w:tc>
          <w:tcPr>
            <w:tcW w:w="573"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93"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总学分</w:t>
            </w:r>
          </w:p>
        </w:tc>
        <w:tc>
          <w:tcPr>
            <w:tcW w:w="547"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31</w:t>
            </w:r>
          </w:p>
        </w:tc>
        <w:tc>
          <w:tcPr>
            <w:tcW w:w="520"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29</w:t>
            </w:r>
          </w:p>
        </w:tc>
        <w:tc>
          <w:tcPr>
            <w:tcW w:w="440"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31</w:t>
            </w:r>
          </w:p>
        </w:tc>
        <w:tc>
          <w:tcPr>
            <w:tcW w:w="573"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36</w:t>
            </w:r>
          </w:p>
        </w:tc>
        <w:tc>
          <w:tcPr>
            <w:tcW w:w="467"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38</w:t>
            </w:r>
          </w:p>
        </w:tc>
        <w:tc>
          <w:tcPr>
            <w:tcW w:w="607"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38</w:t>
            </w:r>
          </w:p>
        </w:tc>
        <w:tc>
          <w:tcPr>
            <w:tcW w:w="553"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30</w:t>
            </w:r>
          </w:p>
        </w:tc>
        <w:tc>
          <w:tcPr>
            <w:tcW w:w="627"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48</w:t>
            </w:r>
          </w:p>
        </w:tc>
        <w:tc>
          <w:tcPr>
            <w:tcW w:w="586"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42</w:t>
            </w:r>
          </w:p>
        </w:tc>
        <w:tc>
          <w:tcPr>
            <w:tcW w:w="560"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42</w:t>
            </w:r>
          </w:p>
        </w:tc>
        <w:tc>
          <w:tcPr>
            <w:tcW w:w="707"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27</w:t>
            </w:r>
          </w:p>
        </w:tc>
        <w:tc>
          <w:tcPr>
            <w:tcW w:w="709"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49</w:t>
            </w:r>
          </w:p>
        </w:tc>
        <w:tc>
          <w:tcPr>
            <w:tcW w:w="573" w:type="dxa"/>
            <w:vAlign w:val="center"/>
          </w:tcPr>
          <w:p>
            <w:pPr>
              <w:widowControl/>
              <w:jc w:val="center"/>
              <w:rPr>
                <w:rFonts w:cs="Times New Roman" w:asciiTheme="minorEastAsia" w:hAnsiTheme="minorEastAsia"/>
                <w:szCs w:val="21"/>
              </w:rPr>
            </w:pPr>
            <w:r>
              <w:rPr>
                <w:rFonts w:hint="eastAsia" w:cs="Times New Roman" w:asciiTheme="minorEastAsia" w:hAnsiTheme="minorEastAsia"/>
                <w:szCs w:val="21"/>
              </w:rPr>
              <w:t>30</w:t>
            </w:r>
          </w:p>
        </w:tc>
      </w:tr>
    </w:tbl>
    <w:p>
      <w:pPr>
        <w:spacing w:before="120" w:beforeLines="50" w:line="283" w:lineRule="auto"/>
        <w:rPr>
          <w:rFonts w:ascii="宋体" w:hAnsi="宋体" w:eastAsia="宋体" w:cs="Times New Roman"/>
          <w:szCs w:val="21"/>
        </w:rPr>
      </w:pPr>
      <w:r>
        <w:rPr>
          <w:rFonts w:hint="eastAsia" w:ascii="宋体" w:hAnsi="宋体" w:eastAsia="宋体" w:cs="Times New Roman"/>
          <w:b/>
          <w:szCs w:val="21"/>
        </w:rPr>
        <w:t>注：</w:t>
      </w:r>
      <w:r>
        <w:rPr>
          <w:rFonts w:hint="eastAsia" w:ascii="宋体" w:hAnsi="宋体" w:eastAsia="宋体" w:cs="Times New Roman"/>
          <w:szCs w:val="21"/>
        </w:rPr>
        <w:t>表一所列课程学分要求中应包括表二所列的学位课学分</w:t>
      </w:r>
    </w:p>
    <w:p>
      <w:pPr>
        <w:widowControl/>
        <w:jc w:val="left"/>
        <w:rPr>
          <w:rFonts w:ascii="宋体" w:hAnsi="宋体" w:eastAsia="宋体" w:cs="Times New Roman"/>
          <w:szCs w:val="21"/>
        </w:rPr>
      </w:pPr>
    </w:p>
    <w:p>
      <w:pPr>
        <w:widowControl/>
        <w:jc w:val="left"/>
        <w:rPr>
          <w:rFonts w:ascii="宋体" w:hAnsi="宋体" w:eastAsia="宋体" w:cs="Times New Roman"/>
          <w:szCs w:val="21"/>
        </w:rPr>
      </w:pPr>
    </w:p>
    <w:p>
      <w:pPr>
        <w:widowControl/>
        <w:jc w:val="left"/>
        <w:rPr>
          <w:rFonts w:ascii="宋体" w:hAnsi="宋体" w:eastAsia="宋体" w:cs="Times New Roman"/>
          <w:szCs w:val="21"/>
        </w:rPr>
      </w:pPr>
    </w:p>
    <w:p>
      <w:pPr>
        <w:widowControl/>
        <w:jc w:val="left"/>
        <w:rPr>
          <w:rFonts w:ascii="宋体" w:hAnsi="宋体" w:eastAsia="宋体" w:cs="Times New Roman"/>
          <w:szCs w:val="21"/>
        </w:rPr>
      </w:pPr>
    </w:p>
    <w:p>
      <w:pPr>
        <w:widowControl/>
        <w:jc w:val="left"/>
        <w:rPr>
          <w:rFonts w:ascii="宋体" w:hAnsi="宋体" w:eastAsia="宋体" w:cs="Times New Roman"/>
          <w:szCs w:val="21"/>
        </w:rPr>
      </w:pPr>
    </w:p>
    <w:tbl>
      <w:tblPr>
        <w:tblStyle w:val="38"/>
        <w:tblpPr w:leftFromText="180" w:rightFromText="180" w:vertAnchor="text" w:horzAnchor="page" w:tblpX="1800" w:tblpY="317"/>
        <w:tblOverlap w:val="never"/>
        <w:tblW w:w="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078"/>
        <w:gridCol w:w="514"/>
        <w:gridCol w:w="480"/>
        <w:gridCol w:w="546"/>
        <w:gridCol w:w="480"/>
        <w:gridCol w:w="534"/>
        <w:gridCol w:w="506"/>
        <w:gridCol w:w="707"/>
        <w:gridCol w:w="587"/>
        <w:gridCol w:w="613"/>
        <w:gridCol w:w="537"/>
        <w:gridCol w:w="467"/>
        <w:gridCol w:w="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1881" w:type="dxa"/>
            <w:gridSpan w:val="2"/>
            <w:vMerge w:val="restart"/>
            <w:tcBorders>
              <w:tl2br w:val="single" w:color="auto" w:sz="4" w:space="0"/>
            </w:tcBorders>
            <w:vAlign w:val="center"/>
          </w:tcPr>
          <w:p>
            <w:pPr>
              <w:spacing w:before="120" w:beforeLines="50" w:line="283" w:lineRule="auto"/>
              <w:jc w:val="center"/>
              <w:rPr>
                <w:rFonts w:ascii="宋体" w:hAnsi="宋体" w:eastAsia="宋体" w:cs="Times New Roman"/>
                <w:b/>
                <w:szCs w:val="21"/>
              </w:rPr>
            </w:pPr>
            <w:r>
              <w:rPr>
                <w:rFonts w:hint="eastAsia" w:ascii="宋体" w:hAnsi="宋体" w:eastAsia="宋体" w:cs="Times New Roman"/>
                <w:b/>
                <w:szCs w:val="21"/>
              </w:rPr>
              <w:t>学生类型</w:t>
            </w:r>
          </w:p>
          <w:p>
            <w:pPr>
              <w:spacing w:before="120" w:beforeLines="50" w:line="283" w:lineRule="auto"/>
              <w:jc w:val="center"/>
              <w:rPr>
                <w:rFonts w:ascii="宋体" w:hAnsi="宋体" w:eastAsia="宋体" w:cs="Times New Roman"/>
                <w:b/>
                <w:szCs w:val="21"/>
              </w:rPr>
            </w:pPr>
          </w:p>
          <w:p>
            <w:pPr>
              <w:spacing w:before="120" w:beforeLines="50" w:line="283" w:lineRule="auto"/>
              <w:rPr>
                <w:rFonts w:ascii="宋体" w:hAnsi="宋体" w:eastAsia="宋体" w:cs="Times New Roman"/>
                <w:b/>
                <w:szCs w:val="21"/>
              </w:rPr>
            </w:pPr>
            <w:r>
              <w:rPr>
                <w:rFonts w:hint="eastAsia" w:ascii="宋体" w:hAnsi="宋体" w:eastAsia="宋体" w:cs="Times New Roman"/>
                <w:b/>
                <w:szCs w:val="21"/>
              </w:rPr>
              <w:t>培养环节</w:t>
            </w:r>
          </w:p>
        </w:tc>
        <w:tc>
          <w:tcPr>
            <w:tcW w:w="1540" w:type="dxa"/>
            <w:gridSpan w:val="3"/>
            <w:vAlign w:val="center"/>
          </w:tcPr>
          <w:p>
            <w:pPr>
              <w:spacing w:before="120" w:beforeLines="50" w:line="283" w:lineRule="auto"/>
              <w:jc w:val="center"/>
              <w:rPr>
                <w:rFonts w:ascii="宋体" w:hAnsi="宋体" w:eastAsia="宋体" w:cs="Times New Roman"/>
                <w:b/>
                <w:szCs w:val="21"/>
              </w:rPr>
            </w:pPr>
            <w:r>
              <w:rPr>
                <w:rFonts w:hint="eastAsia" w:ascii="宋体" w:hAnsi="宋体" w:eastAsia="宋体" w:cs="Times New Roman"/>
                <w:b/>
                <w:szCs w:val="21"/>
              </w:rPr>
              <w:t>学术学位硕士</w:t>
            </w:r>
          </w:p>
        </w:tc>
        <w:tc>
          <w:tcPr>
            <w:tcW w:w="1520" w:type="dxa"/>
            <w:gridSpan w:val="3"/>
            <w:vAlign w:val="center"/>
          </w:tcPr>
          <w:p>
            <w:pPr>
              <w:spacing w:before="120" w:beforeLines="50" w:line="283" w:lineRule="auto"/>
              <w:jc w:val="center"/>
              <w:rPr>
                <w:rFonts w:ascii="宋体" w:hAnsi="宋体" w:eastAsia="宋体" w:cs="Times New Roman"/>
                <w:b/>
                <w:szCs w:val="21"/>
              </w:rPr>
            </w:pPr>
            <w:r>
              <w:rPr>
                <w:rFonts w:hint="eastAsia" w:ascii="宋体" w:hAnsi="宋体" w:eastAsia="宋体" w:cs="Times New Roman"/>
                <w:b/>
                <w:szCs w:val="21"/>
              </w:rPr>
              <w:t>专业学位硕士</w:t>
            </w:r>
          </w:p>
        </w:tc>
        <w:tc>
          <w:tcPr>
            <w:tcW w:w="1907" w:type="dxa"/>
            <w:gridSpan w:val="3"/>
            <w:vAlign w:val="center"/>
          </w:tcPr>
          <w:p>
            <w:pPr>
              <w:spacing w:before="120" w:beforeLines="50" w:line="283" w:lineRule="auto"/>
              <w:jc w:val="center"/>
              <w:rPr>
                <w:rFonts w:ascii="宋体" w:hAnsi="宋体" w:eastAsia="宋体" w:cs="Times New Roman"/>
                <w:b/>
                <w:szCs w:val="21"/>
              </w:rPr>
            </w:pPr>
            <w:r>
              <w:rPr>
                <w:rFonts w:hint="eastAsia" w:ascii="宋体" w:hAnsi="宋体" w:eastAsia="宋体" w:cs="Times New Roman"/>
                <w:b/>
                <w:szCs w:val="21"/>
              </w:rPr>
              <w:t>学术型硕博贯通研究生</w:t>
            </w:r>
          </w:p>
        </w:tc>
        <w:tc>
          <w:tcPr>
            <w:tcW w:w="537" w:type="dxa"/>
            <w:vMerge w:val="restart"/>
            <w:vAlign w:val="center"/>
          </w:tcPr>
          <w:p>
            <w:pPr>
              <w:spacing w:before="120" w:beforeLines="50" w:line="283" w:lineRule="auto"/>
              <w:jc w:val="center"/>
              <w:rPr>
                <w:rFonts w:ascii="宋体" w:hAnsi="宋体" w:eastAsia="宋体" w:cs="Times New Roman"/>
                <w:b/>
                <w:szCs w:val="21"/>
              </w:rPr>
            </w:pPr>
            <w:r>
              <w:rPr>
                <w:rFonts w:hint="eastAsia" w:ascii="宋体" w:hAnsi="宋体" w:eastAsia="宋体" w:cs="Times New Roman"/>
                <w:b/>
                <w:szCs w:val="21"/>
              </w:rPr>
              <w:t>学术学位博士</w:t>
            </w:r>
          </w:p>
        </w:tc>
        <w:tc>
          <w:tcPr>
            <w:tcW w:w="467" w:type="dxa"/>
            <w:vMerge w:val="restart"/>
            <w:vAlign w:val="center"/>
          </w:tcPr>
          <w:p>
            <w:pPr>
              <w:spacing w:before="120" w:beforeLines="50" w:line="283" w:lineRule="auto"/>
              <w:jc w:val="center"/>
              <w:rPr>
                <w:rFonts w:ascii="宋体" w:hAnsi="宋体" w:eastAsia="宋体" w:cs="Times New Roman"/>
                <w:b/>
                <w:szCs w:val="21"/>
              </w:rPr>
            </w:pPr>
            <w:r>
              <w:rPr>
                <w:rFonts w:hint="eastAsia" w:ascii="宋体" w:hAnsi="宋体" w:eastAsia="宋体" w:cs="Times New Roman"/>
                <w:b/>
                <w:szCs w:val="21"/>
              </w:rPr>
              <w:t>医学专业学位博士</w:t>
            </w:r>
          </w:p>
        </w:tc>
        <w:tc>
          <w:tcPr>
            <w:tcW w:w="626" w:type="dxa"/>
            <w:vMerge w:val="restart"/>
            <w:vAlign w:val="center"/>
          </w:tcPr>
          <w:p>
            <w:pPr>
              <w:widowControl/>
              <w:jc w:val="center"/>
              <w:rPr>
                <w:rFonts w:cs="Times New Roman" w:asciiTheme="minorEastAsia" w:hAnsiTheme="minorEastAsia"/>
                <w:b/>
                <w:szCs w:val="21"/>
              </w:rPr>
            </w:pPr>
            <w:r>
              <w:rPr>
                <w:rFonts w:hint="eastAsia" w:cs="Times New Roman" w:asciiTheme="minorEastAsia" w:hAnsiTheme="minorEastAsia"/>
                <w:b/>
                <w:szCs w:val="21"/>
              </w:rPr>
              <w:t>工程</w:t>
            </w:r>
          </w:p>
          <w:p>
            <w:pPr>
              <w:spacing w:before="120" w:beforeLines="50" w:line="283" w:lineRule="auto"/>
              <w:jc w:val="center"/>
              <w:rPr>
                <w:rFonts w:ascii="宋体" w:hAnsi="宋体" w:eastAsia="宋体" w:cs="Times New Roman"/>
                <w:b/>
                <w:szCs w:val="21"/>
              </w:rPr>
            </w:pPr>
            <w:r>
              <w:rPr>
                <w:rFonts w:hint="eastAsia" w:cs="Times New Roman" w:asciiTheme="minorEastAsia" w:hAnsiTheme="minorEastAsia"/>
                <w:b/>
                <w:szCs w:val="21"/>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81" w:type="dxa"/>
            <w:gridSpan w:val="2"/>
            <w:vMerge w:val="continue"/>
            <w:tcBorders>
              <w:tl2br w:val="single" w:color="auto" w:sz="4" w:space="0"/>
            </w:tcBorders>
            <w:vAlign w:val="center"/>
          </w:tcPr>
          <w:p>
            <w:pPr>
              <w:spacing w:before="120" w:beforeLines="50" w:line="283" w:lineRule="auto"/>
              <w:jc w:val="center"/>
              <w:rPr>
                <w:rFonts w:ascii="宋体" w:hAnsi="宋体" w:eastAsia="宋体" w:cs="Times New Roman"/>
                <w:b/>
                <w:szCs w:val="21"/>
              </w:rPr>
            </w:pPr>
          </w:p>
        </w:tc>
        <w:tc>
          <w:tcPr>
            <w:tcW w:w="514" w:type="dxa"/>
            <w:vAlign w:val="center"/>
          </w:tcPr>
          <w:p>
            <w:pPr>
              <w:spacing w:before="120" w:beforeLines="50" w:line="283" w:lineRule="auto"/>
              <w:jc w:val="center"/>
              <w:rPr>
                <w:rFonts w:ascii="宋体" w:hAnsi="宋体" w:eastAsia="宋体" w:cs="Times New Roman"/>
                <w:b/>
                <w:szCs w:val="21"/>
              </w:rPr>
            </w:pPr>
            <w:r>
              <w:rPr>
                <w:rFonts w:hint="eastAsia" w:ascii="宋体" w:hAnsi="宋体" w:eastAsia="宋体" w:cs="Times New Roman"/>
                <w:b/>
                <w:szCs w:val="21"/>
              </w:rPr>
              <w:t>人文社科</w:t>
            </w:r>
          </w:p>
        </w:tc>
        <w:tc>
          <w:tcPr>
            <w:tcW w:w="480" w:type="dxa"/>
            <w:vAlign w:val="center"/>
          </w:tcPr>
          <w:p>
            <w:pPr>
              <w:spacing w:before="120" w:beforeLines="50" w:line="283" w:lineRule="auto"/>
              <w:jc w:val="center"/>
              <w:rPr>
                <w:rFonts w:ascii="宋体" w:hAnsi="宋体" w:eastAsia="宋体" w:cs="Times New Roman"/>
                <w:b/>
                <w:szCs w:val="21"/>
              </w:rPr>
            </w:pPr>
            <w:r>
              <w:rPr>
                <w:rFonts w:hint="eastAsia" w:ascii="宋体" w:hAnsi="宋体" w:eastAsia="宋体" w:cs="Times New Roman"/>
                <w:b/>
                <w:szCs w:val="21"/>
              </w:rPr>
              <w:t>理工</w:t>
            </w:r>
          </w:p>
        </w:tc>
        <w:tc>
          <w:tcPr>
            <w:tcW w:w="546" w:type="dxa"/>
            <w:vAlign w:val="center"/>
          </w:tcPr>
          <w:p>
            <w:pPr>
              <w:spacing w:before="120" w:beforeLines="50" w:line="283" w:lineRule="auto"/>
              <w:jc w:val="center"/>
              <w:rPr>
                <w:rFonts w:ascii="宋体" w:hAnsi="宋体" w:eastAsia="宋体" w:cs="Times New Roman"/>
                <w:b/>
                <w:szCs w:val="21"/>
              </w:rPr>
            </w:pPr>
            <w:r>
              <w:rPr>
                <w:rFonts w:hint="eastAsia" w:ascii="宋体" w:hAnsi="宋体" w:eastAsia="宋体" w:cs="Times New Roman"/>
                <w:b/>
                <w:szCs w:val="21"/>
              </w:rPr>
              <w:t>医学</w:t>
            </w:r>
          </w:p>
        </w:tc>
        <w:tc>
          <w:tcPr>
            <w:tcW w:w="480" w:type="dxa"/>
            <w:vAlign w:val="center"/>
          </w:tcPr>
          <w:p>
            <w:pPr>
              <w:spacing w:before="120" w:beforeLines="50" w:line="283" w:lineRule="auto"/>
              <w:jc w:val="center"/>
              <w:rPr>
                <w:rFonts w:ascii="宋体" w:hAnsi="宋体" w:eastAsia="宋体" w:cs="Times New Roman"/>
                <w:b/>
                <w:szCs w:val="21"/>
              </w:rPr>
            </w:pPr>
            <w:r>
              <w:rPr>
                <w:rFonts w:hint="eastAsia" w:ascii="宋体" w:hAnsi="宋体" w:eastAsia="宋体" w:cs="Times New Roman"/>
                <w:b/>
                <w:szCs w:val="21"/>
              </w:rPr>
              <w:t>工程类</w:t>
            </w:r>
          </w:p>
        </w:tc>
        <w:tc>
          <w:tcPr>
            <w:tcW w:w="534" w:type="dxa"/>
            <w:vAlign w:val="center"/>
          </w:tcPr>
          <w:p>
            <w:pPr>
              <w:spacing w:before="120" w:beforeLines="50" w:line="283" w:lineRule="auto"/>
              <w:jc w:val="center"/>
              <w:rPr>
                <w:rFonts w:ascii="宋体" w:hAnsi="宋体" w:eastAsia="宋体" w:cs="Times New Roman"/>
                <w:b/>
                <w:szCs w:val="21"/>
              </w:rPr>
            </w:pPr>
            <w:r>
              <w:rPr>
                <w:rFonts w:hint="eastAsia" w:ascii="宋体" w:hAnsi="宋体" w:eastAsia="宋体" w:cs="Times New Roman"/>
                <w:b/>
                <w:szCs w:val="21"/>
              </w:rPr>
              <w:t>医学</w:t>
            </w:r>
          </w:p>
        </w:tc>
        <w:tc>
          <w:tcPr>
            <w:tcW w:w="506" w:type="dxa"/>
            <w:vAlign w:val="center"/>
          </w:tcPr>
          <w:p>
            <w:pPr>
              <w:spacing w:before="120" w:beforeLines="50" w:line="283" w:lineRule="auto"/>
              <w:jc w:val="center"/>
              <w:rPr>
                <w:rFonts w:ascii="宋体" w:hAnsi="宋体" w:eastAsia="宋体" w:cs="Times New Roman"/>
                <w:b/>
                <w:szCs w:val="21"/>
              </w:rPr>
            </w:pPr>
            <w:r>
              <w:rPr>
                <w:rFonts w:hint="eastAsia" w:ascii="宋体" w:hAnsi="宋体" w:eastAsia="宋体" w:cs="Times New Roman"/>
                <w:b/>
                <w:szCs w:val="21"/>
              </w:rPr>
              <w:t>其它</w:t>
            </w:r>
          </w:p>
        </w:tc>
        <w:tc>
          <w:tcPr>
            <w:tcW w:w="707" w:type="dxa"/>
            <w:vAlign w:val="center"/>
          </w:tcPr>
          <w:p>
            <w:pPr>
              <w:spacing w:before="120" w:beforeLines="50" w:line="283" w:lineRule="auto"/>
              <w:jc w:val="center"/>
              <w:rPr>
                <w:rFonts w:ascii="宋体" w:hAnsi="宋体" w:eastAsia="宋体" w:cs="Times New Roman"/>
                <w:b/>
                <w:szCs w:val="21"/>
              </w:rPr>
            </w:pPr>
            <w:r>
              <w:rPr>
                <w:rFonts w:hint="eastAsia" w:ascii="宋体" w:hAnsi="宋体" w:eastAsia="宋体" w:cs="Times New Roman"/>
                <w:b/>
                <w:szCs w:val="21"/>
              </w:rPr>
              <w:t>人文社科</w:t>
            </w:r>
          </w:p>
        </w:tc>
        <w:tc>
          <w:tcPr>
            <w:tcW w:w="587" w:type="dxa"/>
            <w:vAlign w:val="center"/>
          </w:tcPr>
          <w:p>
            <w:pPr>
              <w:spacing w:before="120" w:beforeLines="50" w:line="283" w:lineRule="auto"/>
              <w:jc w:val="center"/>
              <w:rPr>
                <w:rFonts w:ascii="宋体" w:hAnsi="宋体" w:eastAsia="宋体" w:cs="Times New Roman"/>
                <w:b/>
                <w:szCs w:val="21"/>
              </w:rPr>
            </w:pPr>
            <w:r>
              <w:rPr>
                <w:rFonts w:hint="eastAsia" w:ascii="宋体" w:hAnsi="宋体" w:eastAsia="宋体" w:cs="Times New Roman"/>
                <w:b/>
                <w:szCs w:val="21"/>
              </w:rPr>
              <w:t>理工</w:t>
            </w:r>
          </w:p>
        </w:tc>
        <w:tc>
          <w:tcPr>
            <w:tcW w:w="613" w:type="dxa"/>
            <w:vAlign w:val="center"/>
          </w:tcPr>
          <w:p>
            <w:pPr>
              <w:spacing w:before="120" w:beforeLines="50" w:line="283" w:lineRule="auto"/>
              <w:jc w:val="center"/>
              <w:rPr>
                <w:rFonts w:ascii="宋体" w:hAnsi="宋体" w:eastAsia="宋体" w:cs="Times New Roman"/>
                <w:b/>
                <w:szCs w:val="21"/>
              </w:rPr>
            </w:pPr>
            <w:r>
              <w:rPr>
                <w:rFonts w:hint="eastAsia" w:ascii="宋体" w:hAnsi="宋体" w:eastAsia="宋体" w:cs="Times New Roman"/>
                <w:b/>
                <w:szCs w:val="21"/>
              </w:rPr>
              <w:t>医学</w:t>
            </w:r>
          </w:p>
        </w:tc>
        <w:tc>
          <w:tcPr>
            <w:tcW w:w="537" w:type="dxa"/>
            <w:vMerge w:val="continue"/>
            <w:vAlign w:val="center"/>
          </w:tcPr>
          <w:p>
            <w:pPr>
              <w:spacing w:before="120" w:beforeLines="50" w:line="283" w:lineRule="auto"/>
              <w:jc w:val="center"/>
              <w:rPr>
                <w:rFonts w:ascii="宋体" w:hAnsi="宋体" w:eastAsia="宋体" w:cs="Times New Roman"/>
                <w:szCs w:val="21"/>
              </w:rPr>
            </w:pPr>
          </w:p>
        </w:tc>
        <w:tc>
          <w:tcPr>
            <w:tcW w:w="467" w:type="dxa"/>
            <w:vMerge w:val="continue"/>
            <w:vAlign w:val="center"/>
          </w:tcPr>
          <w:p>
            <w:pPr>
              <w:spacing w:before="120" w:beforeLines="50" w:line="283" w:lineRule="auto"/>
              <w:jc w:val="center"/>
              <w:rPr>
                <w:rFonts w:ascii="宋体" w:hAnsi="宋体" w:eastAsia="宋体" w:cs="Times New Roman"/>
                <w:szCs w:val="21"/>
              </w:rPr>
            </w:pPr>
          </w:p>
        </w:tc>
        <w:tc>
          <w:tcPr>
            <w:tcW w:w="626" w:type="dxa"/>
            <w:vMerge w:val="continue"/>
            <w:vAlign w:val="center"/>
          </w:tcPr>
          <w:p>
            <w:pPr>
              <w:spacing w:before="120" w:beforeLines="50" w:line="283"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vMerge w:val="restart"/>
            <w:vAlign w:val="center"/>
          </w:tcPr>
          <w:p>
            <w:pPr>
              <w:spacing w:before="120" w:beforeLines="50" w:line="283" w:lineRule="auto"/>
              <w:jc w:val="center"/>
              <w:rPr>
                <w:rFonts w:ascii="宋体" w:hAnsi="宋体" w:eastAsia="宋体" w:cs="Times New Roman"/>
                <w:szCs w:val="21"/>
              </w:rPr>
            </w:pPr>
            <w:r>
              <w:rPr>
                <w:rFonts w:hint="eastAsia" w:ascii="宋体" w:hAnsi="宋体" w:eastAsia="宋体" w:cs="Times New Roman"/>
                <w:szCs w:val="21"/>
              </w:rPr>
              <w:t>公共学位课</w:t>
            </w:r>
          </w:p>
        </w:tc>
        <w:tc>
          <w:tcPr>
            <w:tcW w:w="1078" w:type="dxa"/>
            <w:vAlign w:val="center"/>
          </w:tcPr>
          <w:p>
            <w:pPr>
              <w:spacing w:before="120" w:beforeLines="50" w:line="283" w:lineRule="auto"/>
              <w:jc w:val="center"/>
              <w:rPr>
                <w:rFonts w:ascii="宋体" w:hAnsi="宋体" w:eastAsia="宋体" w:cs="Times New Roman"/>
                <w:szCs w:val="21"/>
              </w:rPr>
            </w:pPr>
            <w:r>
              <w:rPr>
                <w:rFonts w:hint="eastAsia" w:ascii="宋体" w:hAnsi="宋体" w:eastAsia="宋体" w:cs="Times New Roman"/>
                <w:szCs w:val="21"/>
              </w:rPr>
              <w:t>思政教育</w:t>
            </w:r>
          </w:p>
        </w:tc>
        <w:tc>
          <w:tcPr>
            <w:tcW w:w="514" w:type="dxa"/>
            <w:vAlign w:val="center"/>
          </w:tcPr>
          <w:p>
            <w:pPr>
              <w:spacing w:before="120" w:beforeLines="50" w:line="283" w:lineRule="auto"/>
              <w:jc w:val="center"/>
              <w:rPr>
                <w:rFonts w:ascii="宋体" w:hAnsi="宋体" w:eastAsia="宋体" w:cs="Times New Roman"/>
                <w:szCs w:val="21"/>
              </w:rPr>
            </w:pPr>
            <w:r>
              <w:rPr>
                <w:rFonts w:hint="eastAsia" w:ascii="宋体" w:hAnsi="宋体" w:eastAsia="宋体" w:cs="Times New Roman"/>
                <w:szCs w:val="21"/>
              </w:rPr>
              <w:t>3</w:t>
            </w:r>
          </w:p>
        </w:tc>
        <w:tc>
          <w:tcPr>
            <w:tcW w:w="480" w:type="dxa"/>
            <w:vAlign w:val="center"/>
          </w:tcPr>
          <w:p>
            <w:pPr>
              <w:spacing w:before="120" w:beforeLines="50" w:line="283" w:lineRule="auto"/>
              <w:jc w:val="center"/>
              <w:rPr>
                <w:rFonts w:ascii="宋体" w:hAnsi="宋体" w:eastAsia="宋体" w:cs="Times New Roman"/>
                <w:szCs w:val="21"/>
              </w:rPr>
            </w:pPr>
            <w:r>
              <w:rPr>
                <w:rFonts w:hint="eastAsia" w:ascii="宋体" w:hAnsi="宋体" w:eastAsia="宋体" w:cs="Times New Roman"/>
                <w:szCs w:val="21"/>
              </w:rPr>
              <w:t>3</w:t>
            </w:r>
          </w:p>
        </w:tc>
        <w:tc>
          <w:tcPr>
            <w:tcW w:w="546" w:type="dxa"/>
            <w:vAlign w:val="center"/>
          </w:tcPr>
          <w:p>
            <w:pPr>
              <w:spacing w:before="120" w:beforeLines="50" w:line="283" w:lineRule="auto"/>
              <w:jc w:val="center"/>
              <w:rPr>
                <w:rFonts w:ascii="宋体" w:hAnsi="宋体" w:eastAsia="宋体" w:cs="Times New Roman"/>
                <w:szCs w:val="21"/>
              </w:rPr>
            </w:pPr>
            <w:r>
              <w:rPr>
                <w:rFonts w:hint="eastAsia" w:ascii="宋体" w:hAnsi="宋体" w:eastAsia="宋体" w:cs="Times New Roman"/>
                <w:szCs w:val="21"/>
              </w:rPr>
              <w:t>3</w:t>
            </w:r>
          </w:p>
        </w:tc>
        <w:tc>
          <w:tcPr>
            <w:tcW w:w="480" w:type="dxa"/>
            <w:vAlign w:val="center"/>
          </w:tcPr>
          <w:p>
            <w:pPr>
              <w:spacing w:before="120" w:beforeLines="50" w:line="283" w:lineRule="auto"/>
              <w:jc w:val="center"/>
              <w:rPr>
                <w:rFonts w:ascii="宋体" w:hAnsi="宋体" w:eastAsia="宋体" w:cs="Times New Roman"/>
                <w:szCs w:val="21"/>
              </w:rPr>
            </w:pPr>
            <w:r>
              <w:rPr>
                <w:rFonts w:hint="eastAsia" w:ascii="宋体" w:hAnsi="宋体" w:eastAsia="宋体" w:cs="Times New Roman"/>
                <w:szCs w:val="21"/>
              </w:rPr>
              <w:t>3</w:t>
            </w:r>
          </w:p>
        </w:tc>
        <w:tc>
          <w:tcPr>
            <w:tcW w:w="534" w:type="dxa"/>
            <w:vAlign w:val="center"/>
          </w:tcPr>
          <w:p>
            <w:pPr>
              <w:spacing w:before="120" w:beforeLines="50" w:line="283" w:lineRule="auto"/>
              <w:jc w:val="center"/>
              <w:rPr>
                <w:rFonts w:ascii="宋体" w:hAnsi="宋体" w:eastAsia="宋体" w:cs="Times New Roman"/>
                <w:szCs w:val="21"/>
              </w:rPr>
            </w:pPr>
            <w:r>
              <w:rPr>
                <w:rFonts w:hint="eastAsia" w:ascii="宋体" w:hAnsi="宋体" w:eastAsia="宋体" w:cs="Times New Roman"/>
                <w:szCs w:val="21"/>
              </w:rPr>
              <w:t>3</w:t>
            </w:r>
          </w:p>
        </w:tc>
        <w:tc>
          <w:tcPr>
            <w:tcW w:w="506" w:type="dxa"/>
            <w:vAlign w:val="center"/>
          </w:tcPr>
          <w:p>
            <w:pPr>
              <w:spacing w:before="120" w:beforeLines="50" w:line="283" w:lineRule="auto"/>
              <w:jc w:val="center"/>
              <w:rPr>
                <w:rFonts w:ascii="宋体" w:hAnsi="宋体" w:eastAsia="宋体" w:cs="Times New Roman"/>
                <w:szCs w:val="21"/>
              </w:rPr>
            </w:pPr>
            <w:r>
              <w:rPr>
                <w:rFonts w:hint="eastAsia" w:ascii="宋体" w:hAnsi="宋体" w:eastAsia="宋体" w:cs="Times New Roman"/>
                <w:szCs w:val="21"/>
              </w:rPr>
              <w:t>3</w:t>
            </w:r>
          </w:p>
        </w:tc>
        <w:tc>
          <w:tcPr>
            <w:tcW w:w="707" w:type="dxa"/>
            <w:vAlign w:val="center"/>
          </w:tcPr>
          <w:p>
            <w:pPr>
              <w:spacing w:before="120" w:beforeLines="50" w:line="283" w:lineRule="auto"/>
              <w:jc w:val="center"/>
              <w:rPr>
                <w:rFonts w:ascii="宋体" w:hAnsi="宋体" w:eastAsia="宋体" w:cs="Times New Roman"/>
                <w:szCs w:val="21"/>
              </w:rPr>
            </w:pPr>
            <w:r>
              <w:rPr>
                <w:rFonts w:hint="eastAsia" w:ascii="宋体" w:hAnsi="宋体" w:eastAsia="宋体" w:cs="Times New Roman"/>
                <w:szCs w:val="21"/>
              </w:rPr>
              <w:t>5</w:t>
            </w:r>
          </w:p>
        </w:tc>
        <w:tc>
          <w:tcPr>
            <w:tcW w:w="587" w:type="dxa"/>
            <w:vAlign w:val="center"/>
          </w:tcPr>
          <w:p>
            <w:pPr>
              <w:spacing w:before="120" w:beforeLines="50" w:line="283" w:lineRule="auto"/>
              <w:jc w:val="center"/>
              <w:rPr>
                <w:rFonts w:ascii="宋体" w:hAnsi="宋体" w:eastAsia="宋体" w:cs="Times New Roman"/>
                <w:szCs w:val="21"/>
              </w:rPr>
            </w:pPr>
            <w:r>
              <w:rPr>
                <w:rFonts w:hint="eastAsia" w:ascii="宋体" w:hAnsi="宋体" w:eastAsia="宋体" w:cs="Times New Roman"/>
                <w:szCs w:val="21"/>
              </w:rPr>
              <w:t>5</w:t>
            </w:r>
          </w:p>
        </w:tc>
        <w:tc>
          <w:tcPr>
            <w:tcW w:w="613" w:type="dxa"/>
            <w:vAlign w:val="center"/>
          </w:tcPr>
          <w:p>
            <w:pPr>
              <w:spacing w:before="120" w:beforeLines="50" w:line="283" w:lineRule="auto"/>
              <w:jc w:val="center"/>
              <w:rPr>
                <w:rFonts w:ascii="宋体" w:hAnsi="宋体" w:eastAsia="宋体" w:cs="Times New Roman"/>
                <w:szCs w:val="21"/>
              </w:rPr>
            </w:pPr>
            <w:r>
              <w:rPr>
                <w:rFonts w:hint="eastAsia" w:ascii="宋体" w:hAnsi="宋体" w:eastAsia="宋体" w:cs="Times New Roman"/>
                <w:szCs w:val="21"/>
              </w:rPr>
              <w:t>5</w:t>
            </w:r>
          </w:p>
        </w:tc>
        <w:tc>
          <w:tcPr>
            <w:tcW w:w="537" w:type="dxa"/>
            <w:vAlign w:val="center"/>
          </w:tcPr>
          <w:p>
            <w:pPr>
              <w:spacing w:before="120" w:beforeLines="50" w:line="283" w:lineRule="auto"/>
              <w:jc w:val="center"/>
              <w:rPr>
                <w:rFonts w:ascii="宋体" w:hAnsi="宋体" w:eastAsia="宋体" w:cs="Times New Roman"/>
                <w:szCs w:val="21"/>
              </w:rPr>
            </w:pPr>
            <w:r>
              <w:rPr>
                <w:rFonts w:hint="eastAsia" w:ascii="宋体" w:hAnsi="宋体" w:eastAsia="宋体" w:cs="Times New Roman"/>
                <w:szCs w:val="21"/>
              </w:rPr>
              <w:t>2</w:t>
            </w:r>
          </w:p>
        </w:tc>
        <w:tc>
          <w:tcPr>
            <w:tcW w:w="467" w:type="dxa"/>
            <w:vAlign w:val="center"/>
          </w:tcPr>
          <w:p>
            <w:pPr>
              <w:spacing w:before="120" w:beforeLines="50" w:line="283" w:lineRule="auto"/>
              <w:jc w:val="center"/>
              <w:rPr>
                <w:rFonts w:ascii="宋体" w:hAnsi="宋体" w:eastAsia="宋体" w:cs="Times New Roman"/>
                <w:szCs w:val="21"/>
              </w:rPr>
            </w:pPr>
            <w:r>
              <w:rPr>
                <w:rFonts w:hint="eastAsia" w:ascii="宋体" w:hAnsi="宋体" w:eastAsia="宋体" w:cs="Times New Roman"/>
                <w:szCs w:val="21"/>
              </w:rPr>
              <w:t>2</w:t>
            </w:r>
          </w:p>
        </w:tc>
        <w:tc>
          <w:tcPr>
            <w:tcW w:w="626" w:type="dxa"/>
            <w:vAlign w:val="center"/>
          </w:tcPr>
          <w:p>
            <w:pPr>
              <w:spacing w:before="120" w:beforeLines="50" w:line="283" w:lineRule="auto"/>
              <w:jc w:val="center"/>
              <w:rPr>
                <w:rFonts w:ascii="宋体" w:hAnsi="宋体" w:eastAsia="宋体" w:cs="Times New Roman"/>
                <w:szCs w:val="21"/>
              </w:rPr>
            </w:pPr>
            <w:r>
              <w:rPr>
                <w:rFonts w:hint="eastAsia" w:ascii="宋体" w:hAnsi="宋体" w:eastAsia="宋体" w:cs="Times New Roman"/>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vMerge w:val="continue"/>
            <w:vAlign w:val="center"/>
          </w:tcPr>
          <w:p>
            <w:pPr>
              <w:spacing w:before="120" w:beforeLines="50" w:line="283" w:lineRule="auto"/>
              <w:jc w:val="center"/>
              <w:rPr>
                <w:rFonts w:ascii="宋体" w:hAnsi="宋体" w:eastAsia="宋体" w:cs="Times New Roman"/>
                <w:szCs w:val="21"/>
              </w:rPr>
            </w:pPr>
          </w:p>
        </w:tc>
        <w:tc>
          <w:tcPr>
            <w:tcW w:w="1078" w:type="dxa"/>
            <w:vAlign w:val="center"/>
          </w:tcPr>
          <w:p>
            <w:pPr>
              <w:spacing w:before="120" w:beforeLines="50" w:line="283" w:lineRule="auto"/>
              <w:jc w:val="center"/>
              <w:rPr>
                <w:rFonts w:ascii="宋体" w:hAnsi="宋体" w:eastAsia="宋体" w:cs="Times New Roman"/>
                <w:szCs w:val="21"/>
              </w:rPr>
            </w:pPr>
            <w:r>
              <w:rPr>
                <w:rFonts w:hint="eastAsia" w:ascii="宋体" w:hAnsi="宋体" w:eastAsia="宋体" w:cs="Times New Roman"/>
                <w:szCs w:val="21"/>
              </w:rPr>
              <w:t>第一外语</w:t>
            </w:r>
          </w:p>
        </w:tc>
        <w:tc>
          <w:tcPr>
            <w:tcW w:w="514" w:type="dxa"/>
            <w:vAlign w:val="center"/>
          </w:tcPr>
          <w:p>
            <w:pPr>
              <w:spacing w:before="120" w:beforeLines="50" w:line="283" w:lineRule="auto"/>
              <w:jc w:val="center"/>
              <w:rPr>
                <w:rFonts w:ascii="宋体" w:hAnsi="宋体" w:eastAsia="宋体" w:cs="Times New Roman"/>
                <w:szCs w:val="21"/>
              </w:rPr>
            </w:pPr>
            <w:r>
              <w:rPr>
                <w:rFonts w:hint="eastAsia" w:ascii="宋体" w:hAnsi="宋体" w:eastAsia="宋体" w:cs="Times New Roman"/>
                <w:szCs w:val="21"/>
              </w:rPr>
              <w:t>2</w:t>
            </w:r>
          </w:p>
        </w:tc>
        <w:tc>
          <w:tcPr>
            <w:tcW w:w="480" w:type="dxa"/>
            <w:vAlign w:val="center"/>
          </w:tcPr>
          <w:p>
            <w:pPr>
              <w:spacing w:before="120" w:beforeLines="50" w:line="283" w:lineRule="auto"/>
              <w:jc w:val="center"/>
              <w:rPr>
                <w:rFonts w:ascii="宋体" w:hAnsi="宋体" w:eastAsia="宋体" w:cs="Times New Roman"/>
                <w:szCs w:val="21"/>
              </w:rPr>
            </w:pPr>
            <w:r>
              <w:rPr>
                <w:rFonts w:hint="eastAsia" w:ascii="宋体" w:hAnsi="宋体" w:eastAsia="宋体" w:cs="Times New Roman"/>
                <w:szCs w:val="21"/>
              </w:rPr>
              <w:t>2</w:t>
            </w:r>
          </w:p>
        </w:tc>
        <w:tc>
          <w:tcPr>
            <w:tcW w:w="546" w:type="dxa"/>
            <w:vAlign w:val="center"/>
          </w:tcPr>
          <w:p>
            <w:pPr>
              <w:spacing w:before="120" w:beforeLines="50" w:line="283" w:lineRule="auto"/>
              <w:jc w:val="center"/>
              <w:rPr>
                <w:rFonts w:ascii="宋体" w:hAnsi="宋体" w:eastAsia="宋体" w:cs="Times New Roman"/>
                <w:szCs w:val="21"/>
              </w:rPr>
            </w:pPr>
            <w:r>
              <w:rPr>
                <w:rFonts w:hint="eastAsia" w:ascii="宋体" w:hAnsi="宋体" w:eastAsia="宋体" w:cs="Times New Roman"/>
                <w:szCs w:val="21"/>
              </w:rPr>
              <w:t>2</w:t>
            </w:r>
          </w:p>
        </w:tc>
        <w:tc>
          <w:tcPr>
            <w:tcW w:w="480" w:type="dxa"/>
            <w:vAlign w:val="center"/>
          </w:tcPr>
          <w:p>
            <w:pPr>
              <w:spacing w:before="120" w:beforeLines="50" w:line="283" w:lineRule="auto"/>
              <w:jc w:val="center"/>
              <w:rPr>
                <w:rFonts w:ascii="宋体" w:hAnsi="宋体" w:eastAsia="宋体" w:cs="Times New Roman"/>
                <w:szCs w:val="21"/>
              </w:rPr>
            </w:pPr>
            <w:r>
              <w:rPr>
                <w:rFonts w:hint="eastAsia" w:ascii="宋体" w:hAnsi="宋体" w:eastAsia="宋体" w:cs="Times New Roman"/>
                <w:szCs w:val="21"/>
              </w:rPr>
              <w:t>2</w:t>
            </w:r>
          </w:p>
        </w:tc>
        <w:tc>
          <w:tcPr>
            <w:tcW w:w="534" w:type="dxa"/>
            <w:vAlign w:val="center"/>
          </w:tcPr>
          <w:p>
            <w:pPr>
              <w:spacing w:before="120" w:beforeLines="50" w:line="283" w:lineRule="auto"/>
              <w:jc w:val="center"/>
              <w:rPr>
                <w:rFonts w:ascii="宋体" w:hAnsi="宋体" w:eastAsia="宋体" w:cs="Times New Roman"/>
                <w:szCs w:val="21"/>
              </w:rPr>
            </w:pPr>
            <w:r>
              <w:rPr>
                <w:rFonts w:hint="eastAsia" w:ascii="宋体" w:hAnsi="宋体" w:eastAsia="宋体" w:cs="Times New Roman"/>
                <w:szCs w:val="21"/>
              </w:rPr>
              <w:t>2</w:t>
            </w:r>
          </w:p>
        </w:tc>
        <w:tc>
          <w:tcPr>
            <w:tcW w:w="506" w:type="dxa"/>
            <w:vAlign w:val="center"/>
          </w:tcPr>
          <w:p>
            <w:pPr>
              <w:spacing w:before="120" w:beforeLines="50" w:line="283" w:lineRule="auto"/>
              <w:jc w:val="center"/>
              <w:rPr>
                <w:rFonts w:ascii="宋体" w:hAnsi="宋体" w:eastAsia="宋体" w:cs="Times New Roman"/>
                <w:szCs w:val="21"/>
              </w:rPr>
            </w:pPr>
            <w:r>
              <w:rPr>
                <w:rFonts w:hint="eastAsia" w:ascii="宋体" w:hAnsi="宋体" w:eastAsia="宋体" w:cs="Times New Roman"/>
                <w:szCs w:val="21"/>
              </w:rPr>
              <w:t>2</w:t>
            </w:r>
          </w:p>
        </w:tc>
        <w:tc>
          <w:tcPr>
            <w:tcW w:w="707" w:type="dxa"/>
            <w:vAlign w:val="center"/>
          </w:tcPr>
          <w:p>
            <w:pPr>
              <w:spacing w:before="120" w:beforeLines="50" w:line="283" w:lineRule="auto"/>
              <w:jc w:val="center"/>
              <w:rPr>
                <w:rFonts w:ascii="宋体" w:hAnsi="宋体" w:eastAsia="宋体" w:cs="Times New Roman"/>
                <w:szCs w:val="21"/>
              </w:rPr>
            </w:pPr>
            <w:r>
              <w:rPr>
                <w:rFonts w:hint="eastAsia" w:ascii="宋体" w:hAnsi="宋体" w:eastAsia="宋体" w:cs="Times New Roman"/>
                <w:szCs w:val="21"/>
              </w:rPr>
              <w:t>2</w:t>
            </w:r>
          </w:p>
        </w:tc>
        <w:tc>
          <w:tcPr>
            <w:tcW w:w="587" w:type="dxa"/>
            <w:vAlign w:val="center"/>
          </w:tcPr>
          <w:p>
            <w:pPr>
              <w:spacing w:before="120" w:beforeLines="50" w:line="283" w:lineRule="auto"/>
              <w:jc w:val="center"/>
              <w:rPr>
                <w:rFonts w:ascii="宋体" w:hAnsi="宋体" w:eastAsia="宋体" w:cs="Times New Roman"/>
                <w:szCs w:val="21"/>
              </w:rPr>
            </w:pPr>
            <w:r>
              <w:rPr>
                <w:rFonts w:hint="eastAsia" w:ascii="宋体" w:hAnsi="宋体" w:eastAsia="宋体" w:cs="Times New Roman"/>
                <w:szCs w:val="21"/>
              </w:rPr>
              <w:t>2</w:t>
            </w:r>
          </w:p>
        </w:tc>
        <w:tc>
          <w:tcPr>
            <w:tcW w:w="613" w:type="dxa"/>
            <w:vAlign w:val="center"/>
          </w:tcPr>
          <w:p>
            <w:pPr>
              <w:spacing w:before="120" w:beforeLines="50" w:line="283" w:lineRule="auto"/>
              <w:jc w:val="center"/>
              <w:rPr>
                <w:rFonts w:ascii="宋体" w:hAnsi="宋体" w:eastAsia="宋体" w:cs="Times New Roman"/>
                <w:szCs w:val="21"/>
              </w:rPr>
            </w:pPr>
            <w:r>
              <w:rPr>
                <w:rFonts w:hint="eastAsia" w:ascii="宋体" w:hAnsi="宋体" w:eastAsia="宋体" w:cs="Times New Roman"/>
                <w:szCs w:val="21"/>
              </w:rPr>
              <w:t>2</w:t>
            </w:r>
          </w:p>
        </w:tc>
        <w:tc>
          <w:tcPr>
            <w:tcW w:w="537" w:type="dxa"/>
            <w:vAlign w:val="center"/>
          </w:tcPr>
          <w:p>
            <w:pPr>
              <w:spacing w:before="120" w:beforeLines="50" w:line="283" w:lineRule="auto"/>
              <w:jc w:val="center"/>
              <w:rPr>
                <w:rFonts w:ascii="宋体" w:hAnsi="宋体" w:eastAsia="宋体" w:cs="Times New Roman"/>
                <w:szCs w:val="21"/>
              </w:rPr>
            </w:pPr>
          </w:p>
        </w:tc>
        <w:tc>
          <w:tcPr>
            <w:tcW w:w="467" w:type="dxa"/>
            <w:vAlign w:val="center"/>
          </w:tcPr>
          <w:p>
            <w:pPr>
              <w:spacing w:before="120" w:beforeLines="50" w:line="283" w:lineRule="auto"/>
              <w:jc w:val="center"/>
              <w:rPr>
                <w:rFonts w:ascii="宋体" w:hAnsi="宋体" w:eastAsia="宋体" w:cs="Times New Roman"/>
                <w:szCs w:val="21"/>
              </w:rPr>
            </w:pPr>
          </w:p>
        </w:tc>
        <w:tc>
          <w:tcPr>
            <w:tcW w:w="626" w:type="dxa"/>
            <w:vAlign w:val="center"/>
          </w:tcPr>
          <w:p>
            <w:pPr>
              <w:spacing w:before="120" w:beforeLines="50" w:line="283"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3" w:type="dxa"/>
            <w:vMerge w:val="continue"/>
            <w:vAlign w:val="center"/>
          </w:tcPr>
          <w:p>
            <w:pPr>
              <w:spacing w:before="120" w:beforeLines="50" w:line="283" w:lineRule="auto"/>
              <w:jc w:val="center"/>
              <w:rPr>
                <w:rFonts w:ascii="宋体" w:hAnsi="宋体" w:eastAsia="宋体" w:cs="Times New Roman"/>
                <w:szCs w:val="21"/>
              </w:rPr>
            </w:pPr>
          </w:p>
        </w:tc>
        <w:tc>
          <w:tcPr>
            <w:tcW w:w="1078" w:type="dxa"/>
            <w:vAlign w:val="center"/>
          </w:tcPr>
          <w:p>
            <w:pPr>
              <w:spacing w:before="120" w:beforeLines="50" w:line="283" w:lineRule="auto"/>
              <w:jc w:val="center"/>
              <w:rPr>
                <w:rFonts w:ascii="宋体" w:hAnsi="宋体" w:eastAsia="宋体" w:cs="Times New Roman"/>
                <w:szCs w:val="21"/>
              </w:rPr>
            </w:pPr>
            <w:r>
              <w:rPr>
                <w:rFonts w:hint="eastAsia" w:ascii="宋体" w:hAnsi="宋体" w:eastAsia="宋体" w:cs="Times New Roman"/>
                <w:szCs w:val="21"/>
              </w:rPr>
              <w:t>工程伦理</w:t>
            </w:r>
          </w:p>
        </w:tc>
        <w:tc>
          <w:tcPr>
            <w:tcW w:w="514" w:type="dxa"/>
            <w:vAlign w:val="center"/>
          </w:tcPr>
          <w:p>
            <w:pPr>
              <w:spacing w:before="120" w:beforeLines="50" w:line="283" w:lineRule="auto"/>
              <w:jc w:val="center"/>
              <w:rPr>
                <w:rFonts w:ascii="宋体" w:hAnsi="宋体" w:eastAsia="宋体" w:cs="Times New Roman"/>
                <w:szCs w:val="21"/>
              </w:rPr>
            </w:pPr>
          </w:p>
        </w:tc>
        <w:tc>
          <w:tcPr>
            <w:tcW w:w="480" w:type="dxa"/>
            <w:vAlign w:val="center"/>
          </w:tcPr>
          <w:p>
            <w:pPr>
              <w:spacing w:before="120" w:beforeLines="50" w:line="283" w:lineRule="auto"/>
              <w:jc w:val="center"/>
              <w:rPr>
                <w:rFonts w:ascii="宋体" w:hAnsi="宋体" w:eastAsia="宋体" w:cs="Times New Roman"/>
                <w:szCs w:val="21"/>
              </w:rPr>
            </w:pPr>
          </w:p>
        </w:tc>
        <w:tc>
          <w:tcPr>
            <w:tcW w:w="546" w:type="dxa"/>
            <w:vAlign w:val="center"/>
          </w:tcPr>
          <w:p>
            <w:pPr>
              <w:spacing w:before="120" w:beforeLines="50" w:line="283" w:lineRule="auto"/>
              <w:jc w:val="center"/>
              <w:rPr>
                <w:rFonts w:ascii="宋体" w:hAnsi="宋体" w:eastAsia="宋体" w:cs="Times New Roman"/>
                <w:szCs w:val="21"/>
              </w:rPr>
            </w:pPr>
          </w:p>
        </w:tc>
        <w:tc>
          <w:tcPr>
            <w:tcW w:w="480" w:type="dxa"/>
            <w:vAlign w:val="center"/>
          </w:tcPr>
          <w:p>
            <w:pPr>
              <w:spacing w:before="120" w:beforeLines="50" w:line="283" w:lineRule="auto"/>
              <w:jc w:val="center"/>
              <w:rPr>
                <w:rFonts w:ascii="宋体" w:hAnsi="宋体" w:eastAsia="宋体" w:cs="Times New Roman"/>
                <w:szCs w:val="21"/>
              </w:rPr>
            </w:pPr>
            <w:r>
              <w:rPr>
                <w:rFonts w:hint="eastAsia" w:ascii="宋体" w:hAnsi="宋体" w:eastAsia="宋体" w:cs="Times New Roman"/>
                <w:szCs w:val="21"/>
              </w:rPr>
              <w:t>2</w:t>
            </w:r>
          </w:p>
        </w:tc>
        <w:tc>
          <w:tcPr>
            <w:tcW w:w="534" w:type="dxa"/>
            <w:vAlign w:val="center"/>
          </w:tcPr>
          <w:p>
            <w:pPr>
              <w:spacing w:before="120" w:beforeLines="50" w:line="283" w:lineRule="auto"/>
              <w:jc w:val="center"/>
              <w:rPr>
                <w:rFonts w:ascii="宋体" w:hAnsi="宋体" w:eastAsia="宋体" w:cs="Times New Roman"/>
                <w:szCs w:val="21"/>
              </w:rPr>
            </w:pPr>
          </w:p>
        </w:tc>
        <w:tc>
          <w:tcPr>
            <w:tcW w:w="506" w:type="dxa"/>
            <w:vAlign w:val="center"/>
          </w:tcPr>
          <w:p>
            <w:pPr>
              <w:spacing w:before="120" w:beforeLines="50" w:line="283" w:lineRule="auto"/>
              <w:jc w:val="center"/>
              <w:rPr>
                <w:rFonts w:ascii="宋体" w:hAnsi="宋体" w:eastAsia="宋体" w:cs="Times New Roman"/>
                <w:szCs w:val="21"/>
              </w:rPr>
            </w:pPr>
          </w:p>
        </w:tc>
        <w:tc>
          <w:tcPr>
            <w:tcW w:w="707" w:type="dxa"/>
            <w:vAlign w:val="center"/>
          </w:tcPr>
          <w:p>
            <w:pPr>
              <w:spacing w:before="120" w:beforeLines="50" w:line="283" w:lineRule="auto"/>
              <w:jc w:val="center"/>
              <w:rPr>
                <w:rFonts w:ascii="宋体" w:hAnsi="宋体" w:eastAsia="宋体" w:cs="Times New Roman"/>
                <w:szCs w:val="21"/>
              </w:rPr>
            </w:pPr>
          </w:p>
        </w:tc>
        <w:tc>
          <w:tcPr>
            <w:tcW w:w="587" w:type="dxa"/>
            <w:vAlign w:val="center"/>
          </w:tcPr>
          <w:p>
            <w:pPr>
              <w:spacing w:before="120" w:beforeLines="50" w:line="283" w:lineRule="auto"/>
              <w:jc w:val="center"/>
              <w:rPr>
                <w:rFonts w:ascii="宋体" w:hAnsi="宋体" w:eastAsia="宋体" w:cs="Times New Roman"/>
                <w:szCs w:val="21"/>
              </w:rPr>
            </w:pPr>
          </w:p>
        </w:tc>
        <w:tc>
          <w:tcPr>
            <w:tcW w:w="613" w:type="dxa"/>
            <w:vAlign w:val="center"/>
          </w:tcPr>
          <w:p>
            <w:pPr>
              <w:spacing w:before="120" w:beforeLines="50" w:line="283" w:lineRule="auto"/>
              <w:jc w:val="center"/>
              <w:rPr>
                <w:rFonts w:ascii="宋体" w:hAnsi="宋体" w:eastAsia="宋体" w:cs="Times New Roman"/>
                <w:szCs w:val="21"/>
              </w:rPr>
            </w:pPr>
          </w:p>
        </w:tc>
        <w:tc>
          <w:tcPr>
            <w:tcW w:w="537" w:type="dxa"/>
            <w:vAlign w:val="center"/>
          </w:tcPr>
          <w:p>
            <w:pPr>
              <w:spacing w:before="120" w:beforeLines="50" w:line="283" w:lineRule="auto"/>
              <w:jc w:val="center"/>
              <w:rPr>
                <w:rFonts w:ascii="宋体" w:hAnsi="宋体" w:eastAsia="宋体" w:cs="Times New Roman"/>
                <w:szCs w:val="21"/>
              </w:rPr>
            </w:pPr>
          </w:p>
        </w:tc>
        <w:tc>
          <w:tcPr>
            <w:tcW w:w="467" w:type="dxa"/>
            <w:vAlign w:val="center"/>
          </w:tcPr>
          <w:p>
            <w:pPr>
              <w:spacing w:before="120" w:beforeLines="50" w:line="283" w:lineRule="auto"/>
              <w:jc w:val="center"/>
              <w:rPr>
                <w:rFonts w:ascii="宋体" w:hAnsi="宋体" w:eastAsia="宋体" w:cs="Times New Roman"/>
                <w:szCs w:val="21"/>
              </w:rPr>
            </w:pPr>
          </w:p>
        </w:tc>
        <w:tc>
          <w:tcPr>
            <w:tcW w:w="626" w:type="dxa"/>
            <w:vAlign w:val="center"/>
          </w:tcPr>
          <w:p>
            <w:pPr>
              <w:spacing w:before="120" w:beforeLines="50" w:line="283"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881" w:type="dxa"/>
            <w:gridSpan w:val="2"/>
            <w:vAlign w:val="center"/>
          </w:tcPr>
          <w:p>
            <w:pPr>
              <w:spacing w:before="120" w:beforeLines="50" w:line="283" w:lineRule="auto"/>
              <w:jc w:val="center"/>
              <w:rPr>
                <w:rFonts w:ascii="宋体" w:hAnsi="宋体" w:eastAsia="宋体" w:cs="Times New Roman"/>
                <w:szCs w:val="21"/>
              </w:rPr>
            </w:pPr>
            <w:r>
              <w:rPr>
                <w:rFonts w:hint="eastAsia" w:ascii="宋体" w:hAnsi="宋体" w:eastAsia="宋体" w:cs="Times New Roman"/>
                <w:szCs w:val="21"/>
              </w:rPr>
              <w:t>学科（专业）、种类（领域）学位课</w:t>
            </w:r>
          </w:p>
        </w:tc>
        <w:tc>
          <w:tcPr>
            <w:tcW w:w="514" w:type="dxa"/>
            <w:vAlign w:val="center"/>
          </w:tcPr>
          <w:p>
            <w:pPr>
              <w:spacing w:before="120" w:beforeLines="50" w:line="283" w:lineRule="auto"/>
              <w:jc w:val="center"/>
              <w:rPr>
                <w:rFonts w:ascii="宋体" w:hAnsi="宋体" w:eastAsia="宋体" w:cs="Times New Roman"/>
                <w:szCs w:val="21"/>
              </w:rPr>
            </w:pPr>
            <w:r>
              <w:rPr>
                <w:rFonts w:hint="eastAsia" w:ascii="宋体" w:hAnsi="宋体" w:eastAsia="宋体" w:cs="Times New Roman"/>
                <w:szCs w:val="21"/>
              </w:rPr>
              <w:t>8</w:t>
            </w:r>
          </w:p>
        </w:tc>
        <w:tc>
          <w:tcPr>
            <w:tcW w:w="480" w:type="dxa"/>
            <w:vAlign w:val="center"/>
          </w:tcPr>
          <w:p>
            <w:pPr>
              <w:spacing w:before="120" w:beforeLines="50" w:line="283" w:lineRule="auto"/>
              <w:jc w:val="center"/>
              <w:rPr>
                <w:rFonts w:ascii="宋体" w:hAnsi="宋体" w:eastAsia="宋体" w:cs="Times New Roman"/>
                <w:szCs w:val="21"/>
              </w:rPr>
            </w:pPr>
            <w:r>
              <w:rPr>
                <w:rFonts w:hint="eastAsia" w:ascii="宋体" w:hAnsi="宋体" w:eastAsia="宋体" w:cs="Times New Roman"/>
                <w:szCs w:val="21"/>
              </w:rPr>
              <w:t>6</w:t>
            </w:r>
          </w:p>
        </w:tc>
        <w:tc>
          <w:tcPr>
            <w:tcW w:w="546" w:type="dxa"/>
            <w:vAlign w:val="center"/>
          </w:tcPr>
          <w:p>
            <w:pPr>
              <w:spacing w:before="120" w:beforeLines="50" w:line="283" w:lineRule="auto"/>
              <w:jc w:val="center"/>
              <w:rPr>
                <w:rFonts w:ascii="宋体" w:hAnsi="宋体" w:eastAsia="宋体" w:cs="Times New Roman"/>
                <w:szCs w:val="21"/>
              </w:rPr>
            </w:pPr>
            <w:r>
              <w:rPr>
                <w:rFonts w:hint="eastAsia" w:ascii="宋体" w:hAnsi="宋体" w:eastAsia="宋体" w:cs="Times New Roman"/>
                <w:szCs w:val="21"/>
              </w:rPr>
              <w:t>8</w:t>
            </w:r>
          </w:p>
        </w:tc>
        <w:tc>
          <w:tcPr>
            <w:tcW w:w="480" w:type="dxa"/>
            <w:vAlign w:val="center"/>
          </w:tcPr>
          <w:p>
            <w:pPr>
              <w:spacing w:before="120" w:beforeLines="50" w:line="283" w:lineRule="auto"/>
              <w:jc w:val="center"/>
              <w:rPr>
                <w:rFonts w:ascii="宋体" w:hAnsi="宋体" w:eastAsia="宋体" w:cs="Times New Roman"/>
                <w:szCs w:val="21"/>
              </w:rPr>
            </w:pPr>
            <w:r>
              <w:rPr>
                <w:rFonts w:ascii="宋体" w:hAnsi="宋体" w:eastAsia="宋体" w:cs="Times New Roman"/>
                <w:szCs w:val="21"/>
              </w:rPr>
              <w:t>6/</w:t>
            </w:r>
            <w:r>
              <w:rPr>
                <w:rFonts w:hint="eastAsia" w:ascii="宋体" w:hAnsi="宋体" w:eastAsia="宋体" w:cs="Times New Roman"/>
                <w:szCs w:val="21"/>
              </w:rPr>
              <w:t>8</w:t>
            </w:r>
          </w:p>
        </w:tc>
        <w:tc>
          <w:tcPr>
            <w:tcW w:w="534" w:type="dxa"/>
            <w:vAlign w:val="center"/>
          </w:tcPr>
          <w:p>
            <w:pPr>
              <w:spacing w:before="120" w:beforeLines="50" w:line="283" w:lineRule="auto"/>
              <w:jc w:val="center"/>
              <w:rPr>
                <w:rFonts w:ascii="宋体" w:hAnsi="宋体" w:eastAsia="宋体" w:cs="Times New Roman"/>
                <w:szCs w:val="21"/>
              </w:rPr>
            </w:pPr>
            <w:r>
              <w:rPr>
                <w:rFonts w:hint="eastAsia" w:ascii="宋体" w:hAnsi="宋体" w:eastAsia="宋体" w:cs="Times New Roman"/>
                <w:szCs w:val="21"/>
              </w:rPr>
              <w:t>8</w:t>
            </w:r>
          </w:p>
        </w:tc>
        <w:tc>
          <w:tcPr>
            <w:tcW w:w="506" w:type="dxa"/>
            <w:vAlign w:val="center"/>
          </w:tcPr>
          <w:p>
            <w:pPr>
              <w:spacing w:before="120" w:beforeLines="50" w:line="283" w:lineRule="auto"/>
              <w:jc w:val="center"/>
              <w:rPr>
                <w:rFonts w:ascii="宋体" w:hAnsi="宋体" w:eastAsia="宋体" w:cs="Times New Roman"/>
                <w:szCs w:val="21"/>
              </w:rPr>
            </w:pPr>
            <w:r>
              <w:rPr>
                <w:rFonts w:hint="eastAsia" w:ascii="宋体" w:hAnsi="宋体" w:eastAsia="宋体" w:cs="Times New Roman"/>
                <w:szCs w:val="21"/>
              </w:rPr>
              <w:t>8</w:t>
            </w:r>
          </w:p>
        </w:tc>
        <w:tc>
          <w:tcPr>
            <w:tcW w:w="707" w:type="dxa"/>
            <w:vAlign w:val="center"/>
          </w:tcPr>
          <w:p>
            <w:pPr>
              <w:spacing w:before="120" w:beforeLines="50" w:line="283" w:lineRule="auto"/>
              <w:jc w:val="center"/>
              <w:rPr>
                <w:rFonts w:ascii="宋体" w:hAnsi="宋体" w:eastAsia="宋体" w:cs="Times New Roman"/>
                <w:szCs w:val="21"/>
              </w:rPr>
            </w:pPr>
            <w:r>
              <w:rPr>
                <w:rFonts w:hint="eastAsia" w:ascii="宋体" w:hAnsi="宋体" w:eastAsia="宋体" w:cs="Times New Roman"/>
                <w:szCs w:val="21"/>
              </w:rPr>
              <w:t>8</w:t>
            </w:r>
          </w:p>
        </w:tc>
        <w:tc>
          <w:tcPr>
            <w:tcW w:w="587" w:type="dxa"/>
            <w:vAlign w:val="center"/>
          </w:tcPr>
          <w:p>
            <w:pPr>
              <w:spacing w:before="120" w:beforeLines="50" w:line="283" w:lineRule="auto"/>
              <w:jc w:val="center"/>
              <w:rPr>
                <w:rFonts w:ascii="宋体" w:hAnsi="宋体" w:eastAsia="宋体" w:cs="Times New Roman"/>
                <w:szCs w:val="21"/>
              </w:rPr>
            </w:pPr>
            <w:r>
              <w:rPr>
                <w:rFonts w:hint="eastAsia" w:ascii="宋体" w:hAnsi="宋体" w:eastAsia="宋体" w:cs="Times New Roman"/>
                <w:szCs w:val="21"/>
              </w:rPr>
              <w:t>8</w:t>
            </w:r>
          </w:p>
        </w:tc>
        <w:tc>
          <w:tcPr>
            <w:tcW w:w="613" w:type="dxa"/>
            <w:vAlign w:val="center"/>
          </w:tcPr>
          <w:p>
            <w:pPr>
              <w:spacing w:before="120" w:beforeLines="50" w:line="283" w:lineRule="auto"/>
              <w:jc w:val="center"/>
              <w:rPr>
                <w:rFonts w:ascii="宋体" w:hAnsi="宋体" w:eastAsia="宋体" w:cs="Times New Roman"/>
                <w:szCs w:val="21"/>
              </w:rPr>
            </w:pPr>
            <w:r>
              <w:rPr>
                <w:rFonts w:hint="eastAsia" w:ascii="宋体" w:hAnsi="宋体" w:eastAsia="宋体" w:cs="Times New Roman"/>
                <w:szCs w:val="21"/>
              </w:rPr>
              <w:t>8</w:t>
            </w:r>
          </w:p>
        </w:tc>
        <w:tc>
          <w:tcPr>
            <w:tcW w:w="537" w:type="dxa"/>
            <w:vAlign w:val="center"/>
          </w:tcPr>
          <w:p>
            <w:pPr>
              <w:spacing w:before="120" w:beforeLines="50" w:line="283" w:lineRule="auto"/>
              <w:jc w:val="center"/>
              <w:rPr>
                <w:rFonts w:ascii="宋体" w:hAnsi="宋体" w:eastAsia="宋体" w:cs="Times New Roman"/>
                <w:szCs w:val="21"/>
              </w:rPr>
            </w:pPr>
            <w:r>
              <w:rPr>
                <w:rFonts w:hint="eastAsia" w:ascii="宋体" w:hAnsi="宋体" w:eastAsia="宋体" w:cs="Times New Roman"/>
                <w:szCs w:val="21"/>
              </w:rPr>
              <w:t>4</w:t>
            </w:r>
          </w:p>
        </w:tc>
        <w:tc>
          <w:tcPr>
            <w:tcW w:w="467" w:type="dxa"/>
            <w:vAlign w:val="center"/>
          </w:tcPr>
          <w:p>
            <w:pPr>
              <w:spacing w:before="120" w:beforeLines="50" w:line="283" w:lineRule="auto"/>
              <w:jc w:val="center"/>
              <w:rPr>
                <w:rFonts w:ascii="宋体" w:hAnsi="宋体" w:eastAsia="宋体" w:cs="Times New Roman"/>
                <w:szCs w:val="21"/>
              </w:rPr>
            </w:pPr>
            <w:r>
              <w:rPr>
                <w:rFonts w:hint="eastAsia" w:ascii="宋体" w:hAnsi="宋体" w:eastAsia="宋体" w:cs="Times New Roman"/>
                <w:szCs w:val="21"/>
              </w:rPr>
              <w:t>6</w:t>
            </w:r>
          </w:p>
        </w:tc>
        <w:tc>
          <w:tcPr>
            <w:tcW w:w="626" w:type="dxa"/>
            <w:vAlign w:val="center"/>
          </w:tcPr>
          <w:p>
            <w:pPr>
              <w:spacing w:before="120" w:beforeLines="50" w:line="283" w:lineRule="auto"/>
              <w:jc w:val="center"/>
              <w:rPr>
                <w:rFonts w:ascii="宋体" w:hAnsi="宋体" w:eastAsia="宋体" w:cs="Times New Roman"/>
                <w:szCs w:val="21"/>
              </w:rPr>
            </w:pPr>
            <w:r>
              <w:rPr>
                <w:rFonts w:hint="eastAsia" w:ascii="宋体" w:hAnsi="宋体" w:eastAsia="宋体" w:cs="Times New Roman"/>
                <w:szCs w:val="21"/>
              </w:rPr>
              <w:t>4</w:t>
            </w:r>
          </w:p>
        </w:tc>
      </w:tr>
    </w:tbl>
    <w:p>
      <w:pPr>
        <w:spacing w:line="283" w:lineRule="auto"/>
        <w:jc w:val="center"/>
        <w:rPr>
          <w:rFonts w:ascii="宋体" w:hAnsi="宋体" w:eastAsia="宋体" w:cs="Times New Roman"/>
          <w:b/>
          <w:szCs w:val="21"/>
        </w:rPr>
      </w:pPr>
      <w:r>
        <w:rPr>
          <w:rFonts w:hint="eastAsia" w:ascii="宋体" w:hAnsi="宋体" w:eastAsia="宋体" w:cs="Times New Roman"/>
          <w:b/>
          <w:szCs w:val="21"/>
        </w:rPr>
        <w:t>表二</w:t>
      </w:r>
      <w:r>
        <w:rPr>
          <w:rFonts w:ascii="宋体" w:hAnsi="宋体" w:eastAsia="宋体" w:cs="Times New Roman"/>
          <w:b/>
          <w:szCs w:val="21"/>
        </w:rPr>
        <w:t xml:space="preserve">  </w:t>
      </w:r>
      <w:r>
        <w:rPr>
          <w:rFonts w:hint="eastAsia" w:ascii="宋体" w:hAnsi="宋体" w:eastAsia="宋体" w:cs="Times New Roman"/>
          <w:b/>
          <w:szCs w:val="21"/>
        </w:rPr>
        <w:t>学位课学分要求</w:t>
      </w:r>
    </w:p>
    <w:p>
      <w:pPr>
        <w:spacing w:before="120" w:beforeLines="50" w:line="283" w:lineRule="auto"/>
        <w:rPr>
          <w:rFonts w:ascii="宋体" w:hAnsi="宋体" w:eastAsia="宋体" w:cs="Times New Roman"/>
          <w:szCs w:val="21"/>
        </w:rPr>
      </w:pPr>
    </w:p>
    <w:tbl>
      <w:tblPr>
        <w:tblStyle w:val="37"/>
        <w:tblpPr w:leftFromText="180" w:rightFromText="180" w:vertAnchor="text" w:horzAnchor="margin" w:tblpXSpec="center" w:tblpY="669"/>
        <w:tblW w:w="46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9"/>
        <w:gridCol w:w="834"/>
        <w:gridCol w:w="861"/>
        <w:gridCol w:w="1283"/>
        <w:gridCol w:w="1926"/>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2" w:type="pct"/>
            <w:tcBorders>
              <w:tl2br w:val="single" w:color="auto" w:sz="4" w:space="0"/>
            </w:tcBorders>
            <w:vAlign w:val="center"/>
          </w:tcPr>
          <w:p>
            <w:pPr>
              <w:spacing w:before="240" w:beforeLines="100" w:line="283" w:lineRule="auto"/>
              <w:ind w:firstLine="934" w:firstLineChars="443"/>
              <w:rPr>
                <w:rFonts w:ascii="Times New Roman" w:hAnsi="Times New Roman" w:eastAsia="宋体" w:cs="Times New Roman"/>
                <w:b/>
                <w:szCs w:val="21"/>
              </w:rPr>
            </w:pPr>
            <w:bookmarkStart w:id="10" w:name="_Toc520822074"/>
            <w:bookmarkStart w:id="11" w:name="_Toc488068614"/>
            <w:bookmarkStart w:id="12" w:name="_Toc12439995"/>
            <w:r>
              <w:rPr>
                <w:rFonts w:hint="eastAsia" w:ascii="Times New Roman" w:hAnsi="Times New Roman" w:eastAsia="宋体" w:cs="Times New Roman"/>
                <w:b/>
                <w:szCs w:val="21"/>
              </w:rPr>
              <w:t>事项</w:t>
            </w:r>
          </w:p>
          <w:p>
            <w:pPr>
              <w:spacing w:before="240" w:beforeLines="100" w:line="283" w:lineRule="auto"/>
              <w:rPr>
                <w:rFonts w:ascii="Times New Roman" w:hAnsi="Times New Roman" w:eastAsia="宋体" w:cs="Times New Roman"/>
                <w:b/>
                <w:szCs w:val="21"/>
              </w:rPr>
            </w:pPr>
            <w:r>
              <w:rPr>
                <w:rFonts w:hint="eastAsia" w:ascii="Times New Roman" w:hAnsi="Times New Roman" w:eastAsia="宋体" w:cs="Times New Roman"/>
                <w:b/>
                <w:szCs w:val="21"/>
              </w:rPr>
              <w:t>学生类型</w:t>
            </w:r>
          </w:p>
        </w:tc>
        <w:tc>
          <w:tcPr>
            <w:tcW w:w="494" w:type="pct"/>
            <w:vAlign w:val="center"/>
          </w:tcPr>
          <w:p>
            <w:pPr>
              <w:spacing w:before="120" w:beforeLines="50" w:line="283" w:lineRule="auto"/>
              <w:jc w:val="center"/>
              <w:rPr>
                <w:rFonts w:ascii="Times New Roman" w:hAnsi="Times New Roman" w:eastAsia="宋体" w:cs="Times New Roman"/>
                <w:b/>
                <w:szCs w:val="21"/>
              </w:rPr>
            </w:pPr>
            <w:r>
              <w:rPr>
                <w:rFonts w:hint="eastAsia" w:ascii="Times New Roman" w:hAnsi="Times New Roman" w:eastAsia="宋体" w:cs="Times New Roman"/>
                <w:b/>
                <w:szCs w:val="21"/>
              </w:rPr>
              <w:t>贯通培养学生</w:t>
            </w:r>
          </w:p>
        </w:tc>
        <w:tc>
          <w:tcPr>
            <w:tcW w:w="510" w:type="pct"/>
            <w:vAlign w:val="center"/>
          </w:tcPr>
          <w:p>
            <w:pPr>
              <w:spacing w:before="120" w:beforeLines="50" w:line="283" w:lineRule="auto"/>
              <w:jc w:val="center"/>
              <w:rPr>
                <w:rFonts w:ascii="Times New Roman" w:hAnsi="Times New Roman" w:eastAsia="宋体" w:cs="Times New Roman"/>
                <w:b/>
                <w:szCs w:val="21"/>
              </w:rPr>
            </w:pPr>
            <w:r>
              <w:rPr>
                <w:rFonts w:hint="eastAsia" w:ascii="Times New Roman" w:hAnsi="Times New Roman" w:eastAsia="宋体" w:cs="Times New Roman"/>
                <w:b/>
                <w:szCs w:val="21"/>
              </w:rPr>
              <w:t>博士</w:t>
            </w:r>
          </w:p>
          <w:p>
            <w:pPr>
              <w:spacing w:before="120" w:beforeLines="50" w:line="283" w:lineRule="auto"/>
              <w:jc w:val="center"/>
              <w:rPr>
                <w:rFonts w:ascii="Times New Roman" w:hAnsi="Times New Roman" w:eastAsia="宋体" w:cs="Times New Roman"/>
                <w:b/>
                <w:szCs w:val="21"/>
              </w:rPr>
            </w:pPr>
            <w:r>
              <w:rPr>
                <w:rFonts w:hint="eastAsia" w:ascii="Times New Roman" w:hAnsi="Times New Roman" w:eastAsia="宋体" w:cs="Times New Roman"/>
                <w:b/>
                <w:szCs w:val="21"/>
              </w:rPr>
              <w:t>资格考核</w:t>
            </w:r>
          </w:p>
        </w:tc>
        <w:tc>
          <w:tcPr>
            <w:tcW w:w="760" w:type="pct"/>
            <w:vAlign w:val="center"/>
          </w:tcPr>
          <w:p>
            <w:pPr>
              <w:spacing w:before="120" w:beforeLines="50" w:line="283" w:lineRule="auto"/>
              <w:jc w:val="center"/>
              <w:rPr>
                <w:rFonts w:ascii="Times New Roman" w:hAnsi="Times New Roman" w:eastAsia="宋体" w:cs="Times New Roman"/>
                <w:b/>
                <w:szCs w:val="21"/>
              </w:rPr>
            </w:pPr>
            <w:r>
              <w:rPr>
                <w:rFonts w:hint="eastAsia" w:ascii="Times New Roman" w:hAnsi="Times New Roman" w:eastAsia="宋体" w:cs="Times New Roman"/>
                <w:b/>
                <w:szCs w:val="21"/>
              </w:rPr>
              <w:t>取得</w:t>
            </w:r>
          </w:p>
          <w:p>
            <w:pPr>
              <w:spacing w:before="120" w:beforeLines="50" w:line="283" w:lineRule="auto"/>
              <w:jc w:val="center"/>
              <w:rPr>
                <w:rFonts w:ascii="Times New Roman" w:hAnsi="Times New Roman" w:eastAsia="宋体" w:cs="Times New Roman"/>
                <w:b/>
                <w:szCs w:val="21"/>
              </w:rPr>
            </w:pPr>
            <w:r>
              <w:rPr>
                <w:rFonts w:hint="eastAsia" w:ascii="Times New Roman" w:hAnsi="Times New Roman" w:eastAsia="宋体" w:cs="Times New Roman"/>
                <w:b/>
                <w:szCs w:val="21"/>
              </w:rPr>
              <w:t>博士学籍</w:t>
            </w:r>
          </w:p>
        </w:tc>
        <w:tc>
          <w:tcPr>
            <w:tcW w:w="1141" w:type="pct"/>
            <w:vAlign w:val="center"/>
          </w:tcPr>
          <w:p>
            <w:pPr>
              <w:spacing w:before="360" w:beforeLines="150" w:after="240" w:line="283" w:lineRule="auto"/>
              <w:jc w:val="center"/>
              <w:rPr>
                <w:rFonts w:ascii="Times New Roman" w:hAnsi="Times New Roman" w:eastAsia="宋体" w:cs="Times New Roman"/>
                <w:b/>
                <w:szCs w:val="21"/>
              </w:rPr>
            </w:pPr>
            <w:r>
              <w:rPr>
                <w:rFonts w:hint="eastAsia" w:ascii="Times New Roman" w:hAnsi="Times New Roman" w:eastAsia="宋体" w:cs="Times New Roman"/>
                <w:b/>
                <w:szCs w:val="21"/>
              </w:rPr>
              <w:t>开题报告</w:t>
            </w:r>
          </w:p>
        </w:tc>
        <w:tc>
          <w:tcPr>
            <w:tcW w:w="1050" w:type="pct"/>
            <w:vAlign w:val="center"/>
          </w:tcPr>
          <w:p>
            <w:pPr>
              <w:spacing w:before="360" w:beforeLines="150" w:after="240" w:line="283" w:lineRule="auto"/>
              <w:jc w:val="center"/>
              <w:rPr>
                <w:rFonts w:ascii="Times New Roman" w:hAnsi="Times New Roman" w:eastAsia="宋体" w:cs="Times New Roman"/>
                <w:b/>
                <w:szCs w:val="21"/>
              </w:rPr>
            </w:pPr>
            <w:r>
              <w:rPr>
                <w:rFonts w:hint="eastAsia" w:ascii="Times New Roman" w:hAnsi="Times New Roman" w:eastAsia="宋体" w:cs="Times New Roman"/>
                <w:b/>
                <w:szCs w:val="21"/>
              </w:rPr>
              <w:t>中期考核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042" w:type="pct"/>
            <w:vAlign w:val="center"/>
          </w:tcPr>
          <w:p>
            <w:pPr>
              <w:jc w:val="center"/>
              <w:rPr>
                <w:b/>
                <w:bCs/>
              </w:rPr>
            </w:pPr>
            <w:r>
              <w:rPr>
                <w:rFonts w:hint="eastAsia"/>
                <w:b/>
                <w:bCs/>
              </w:rPr>
              <w:t>贯通培养学生</w:t>
            </w:r>
          </w:p>
        </w:tc>
        <w:tc>
          <w:tcPr>
            <w:tcW w:w="494" w:type="pct"/>
            <w:vAlign w:val="center"/>
          </w:tcPr>
          <w:p>
            <w:pPr>
              <w:jc w:val="center"/>
            </w:pPr>
            <w:r>
              <w:rPr>
                <w:rFonts w:hint="eastAsia"/>
              </w:rPr>
              <w:t>第一学期</w:t>
            </w:r>
          </w:p>
        </w:tc>
        <w:tc>
          <w:tcPr>
            <w:tcW w:w="510" w:type="pct"/>
            <w:vAlign w:val="center"/>
          </w:tcPr>
          <w:p>
            <w:pPr>
              <w:jc w:val="center"/>
            </w:pPr>
            <w:r>
              <w:rPr>
                <w:rFonts w:hint="eastAsia"/>
              </w:rPr>
              <w:t>第二</w:t>
            </w:r>
            <w:r>
              <w:t>学年内</w:t>
            </w:r>
          </w:p>
        </w:tc>
        <w:tc>
          <w:tcPr>
            <w:tcW w:w="760" w:type="pct"/>
            <w:vAlign w:val="center"/>
          </w:tcPr>
          <w:p>
            <w:r>
              <w:rPr>
                <w:rFonts w:hint="eastAsia"/>
              </w:rPr>
              <w:t>第四或第五学期（博士第一学期）</w:t>
            </w:r>
          </w:p>
        </w:tc>
        <w:tc>
          <w:tcPr>
            <w:tcW w:w="1141" w:type="pct"/>
            <w:vAlign w:val="center"/>
          </w:tcPr>
          <w:p>
            <w:r>
              <w:rPr>
                <w:rFonts w:hint="eastAsia"/>
              </w:rPr>
              <w:t>硕博连读：博士第一学年内；</w:t>
            </w:r>
          </w:p>
          <w:p>
            <w:r>
              <w:rPr>
                <w:rFonts w:hint="eastAsia"/>
              </w:rPr>
              <w:t>直攻博：第二学年内</w:t>
            </w:r>
          </w:p>
        </w:tc>
        <w:tc>
          <w:tcPr>
            <w:tcW w:w="1050" w:type="pct"/>
            <w:vAlign w:val="center"/>
          </w:tcPr>
          <w:p>
            <w:r>
              <w:rPr>
                <w:rFonts w:hint="eastAsia"/>
              </w:rPr>
              <w:t>硕博连读：博士第二学年起至第三学年末；</w:t>
            </w:r>
          </w:p>
          <w:p>
            <w:r>
              <w:rPr>
                <w:rFonts w:hint="eastAsia"/>
              </w:rPr>
              <w:t>直攻博：第三学年起至第四学年末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042" w:type="pct"/>
            <w:vAlign w:val="center"/>
          </w:tcPr>
          <w:p>
            <w:pPr>
              <w:jc w:val="center"/>
              <w:rPr>
                <w:b/>
                <w:bCs/>
              </w:rPr>
            </w:pPr>
            <w:r>
              <w:rPr>
                <w:rFonts w:hint="eastAsia"/>
                <w:b/>
                <w:bCs/>
              </w:rPr>
              <w:t>博士研究生</w:t>
            </w:r>
          </w:p>
        </w:tc>
        <w:tc>
          <w:tcPr>
            <w:tcW w:w="494" w:type="pct"/>
            <w:vAlign w:val="center"/>
          </w:tcPr>
          <w:p>
            <w:pPr>
              <w:jc w:val="center"/>
            </w:pPr>
            <w:r>
              <w:rPr>
                <w:rFonts w:hint="eastAsia"/>
              </w:rPr>
              <w:t>/</w:t>
            </w:r>
          </w:p>
        </w:tc>
        <w:tc>
          <w:tcPr>
            <w:tcW w:w="510" w:type="pct"/>
            <w:vAlign w:val="center"/>
          </w:tcPr>
          <w:p>
            <w:pPr>
              <w:jc w:val="center"/>
            </w:pPr>
            <w:r>
              <w:rPr>
                <w:rFonts w:hint="eastAsia"/>
              </w:rPr>
              <w:t>/</w:t>
            </w:r>
          </w:p>
        </w:tc>
        <w:tc>
          <w:tcPr>
            <w:tcW w:w="760" w:type="pct"/>
            <w:vAlign w:val="center"/>
          </w:tcPr>
          <w:p>
            <w:pPr>
              <w:jc w:val="center"/>
            </w:pPr>
            <w:r>
              <w:rPr>
                <w:rFonts w:hint="eastAsia"/>
              </w:rPr>
              <w:t>第一学期</w:t>
            </w:r>
          </w:p>
        </w:tc>
        <w:tc>
          <w:tcPr>
            <w:tcW w:w="1141" w:type="pct"/>
            <w:vAlign w:val="center"/>
          </w:tcPr>
          <w:p>
            <w:pPr>
              <w:jc w:val="center"/>
            </w:pPr>
            <w:r>
              <w:rPr>
                <w:rFonts w:hint="eastAsia"/>
              </w:rPr>
              <w:t>第四学期结束前</w:t>
            </w:r>
          </w:p>
        </w:tc>
        <w:tc>
          <w:tcPr>
            <w:tcW w:w="1050" w:type="pct"/>
            <w:vAlign w:val="center"/>
          </w:tcPr>
          <w:p>
            <w:pPr>
              <w:jc w:val="center"/>
            </w:pPr>
            <w:r>
              <w:rPr>
                <w:rFonts w:hint="eastAsia"/>
              </w:rPr>
              <w:t>第四学期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042" w:type="pct"/>
            <w:vAlign w:val="center"/>
          </w:tcPr>
          <w:p>
            <w:pPr>
              <w:jc w:val="center"/>
              <w:rPr>
                <w:b/>
                <w:bCs/>
              </w:rPr>
            </w:pPr>
            <w:r>
              <w:rPr>
                <w:rFonts w:hint="eastAsia"/>
                <w:b/>
                <w:bCs/>
              </w:rPr>
              <w:t>硕士研究生</w:t>
            </w:r>
          </w:p>
        </w:tc>
        <w:tc>
          <w:tcPr>
            <w:tcW w:w="494" w:type="pct"/>
            <w:vAlign w:val="center"/>
          </w:tcPr>
          <w:p>
            <w:pPr>
              <w:jc w:val="center"/>
            </w:pPr>
            <w:r>
              <w:rPr>
                <w:rFonts w:hint="eastAsia"/>
              </w:rPr>
              <w:t>/</w:t>
            </w:r>
          </w:p>
        </w:tc>
        <w:tc>
          <w:tcPr>
            <w:tcW w:w="510" w:type="pct"/>
            <w:vAlign w:val="center"/>
          </w:tcPr>
          <w:p>
            <w:pPr>
              <w:jc w:val="center"/>
            </w:pPr>
            <w:r>
              <w:rPr>
                <w:rFonts w:hint="eastAsia"/>
              </w:rPr>
              <w:t>/</w:t>
            </w:r>
          </w:p>
        </w:tc>
        <w:tc>
          <w:tcPr>
            <w:tcW w:w="760" w:type="pct"/>
            <w:vAlign w:val="center"/>
          </w:tcPr>
          <w:p>
            <w:pPr>
              <w:jc w:val="center"/>
            </w:pPr>
            <w:r>
              <w:rPr>
                <w:rFonts w:hint="eastAsia"/>
              </w:rPr>
              <w:t>/</w:t>
            </w:r>
          </w:p>
        </w:tc>
        <w:tc>
          <w:tcPr>
            <w:tcW w:w="1141" w:type="pct"/>
            <w:vAlign w:val="center"/>
          </w:tcPr>
          <w:p>
            <w:pPr>
              <w:jc w:val="center"/>
            </w:pPr>
            <w:r>
              <w:rPr>
                <w:rFonts w:hint="eastAsia"/>
              </w:rPr>
              <w:t>第三学期结束前</w:t>
            </w:r>
          </w:p>
        </w:tc>
        <w:tc>
          <w:tcPr>
            <w:tcW w:w="1050" w:type="pct"/>
            <w:vAlign w:val="center"/>
          </w:tcPr>
          <w:p>
            <w:r>
              <w:rPr>
                <w:rFonts w:hint="eastAsia"/>
              </w:rPr>
              <w:t>第四学期末（三年毕业）</w:t>
            </w:r>
          </w:p>
          <w:p>
            <w:r>
              <w:rPr>
                <w:rFonts w:hint="eastAsia"/>
              </w:rPr>
              <w:t>第三学期末（二年毕业）</w:t>
            </w:r>
          </w:p>
        </w:tc>
      </w:tr>
    </w:tbl>
    <w:p>
      <w:pPr>
        <w:spacing w:line="283" w:lineRule="auto"/>
        <w:outlineLvl w:val="0"/>
        <w:rPr>
          <w:rFonts w:ascii="黑体" w:hAnsi="宋体" w:eastAsia="黑体" w:cs="Times New Roman"/>
          <w:sz w:val="24"/>
          <w:szCs w:val="20"/>
        </w:rPr>
      </w:pPr>
      <w:bookmarkStart w:id="13" w:name="_Toc110427512"/>
      <w:bookmarkStart w:id="14" w:name="_Toc46247686"/>
      <w:bookmarkStart w:id="15" w:name="_Toc45894394"/>
      <w:bookmarkStart w:id="16" w:name="_Toc45890684"/>
      <w:r>
        <w:rPr>
          <w:rFonts w:hint="eastAsia" w:ascii="黑体" w:hAnsi="宋体" w:eastAsia="黑体" w:cs="Times New Roman"/>
          <w:sz w:val="24"/>
          <w:szCs w:val="20"/>
        </w:rPr>
        <w:t>二、贯通培养、博士及硕士研究生部分培养环节时间节点表</w:t>
      </w:r>
      <w:bookmarkEnd w:id="10"/>
      <w:bookmarkEnd w:id="11"/>
      <w:bookmarkEnd w:id="12"/>
      <w:bookmarkEnd w:id="13"/>
      <w:bookmarkEnd w:id="14"/>
      <w:bookmarkEnd w:id="15"/>
      <w:bookmarkEnd w:id="16"/>
    </w:p>
    <w:p>
      <w:pPr>
        <w:spacing w:line="283" w:lineRule="auto"/>
        <w:outlineLvl w:val="0"/>
        <w:rPr>
          <w:rFonts w:ascii="黑体" w:hAnsi="Times New Roman" w:eastAsia="黑体" w:cs="Times New Roman"/>
          <w:sz w:val="24"/>
          <w:szCs w:val="20"/>
        </w:rPr>
      </w:pPr>
    </w:p>
    <w:p>
      <w:pPr>
        <w:rPr>
          <w:rFonts w:ascii="Times New Roman" w:hAnsi="Times New Roman" w:eastAsia="宋体" w:cs="Times New Roman"/>
          <w:b/>
          <w:sz w:val="24"/>
          <w:szCs w:val="20"/>
        </w:rPr>
      </w:pPr>
    </w:p>
    <w:p>
      <w:pPr>
        <w:tabs>
          <w:tab w:val="left" w:pos="6450"/>
        </w:tabs>
        <w:spacing w:line="286" w:lineRule="auto"/>
        <w:rPr>
          <w:rFonts w:ascii="华文隶书" w:eastAsia="华文隶书"/>
          <w:i/>
          <w:sz w:val="72"/>
          <w:szCs w:val="72"/>
        </w:rPr>
        <w:sectPr>
          <w:headerReference r:id="rId3" w:type="default"/>
          <w:headerReference r:id="rId4" w:type="even"/>
          <w:type w:val="oddPage"/>
          <w:pgSz w:w="11906" w:h="16838"/>
          <w:pgMar w:top="1701" w:right="1531" w:bottom="1417" w:left="1531" w:header="1701" w:footer="964" w:gutter="0"/>
          <w:cols w:space="0" w:num="1"/>
          <w:rtlGutter w:val="0"/>
          <w:docGrid w:linePitch="291" w:charSpace="0"/>
        </w:sectPr>
      </w:pPr>
    </w:p>
    <w:p>
      <w:pPr>
        <w:spacing w:line="288" w:lineRule="auto"/>
        <w:jc w:val="right"/>
        <w:rPr>
          <w:rFonts w:ascii="华文隶书" w:eastAsia="华文隶书"/>
          <w:i/>
          <w:sz w:val="72"/>
          <w:szCs w:val="72"/>
        </w:rPr>
      </w:pPr>
    </w:p>
    <w:p>
      <w:pPr>
        <w:spacing w:line="288" w:lineRule="auto"/>
        <w:jc w:val="right"/>
        <w:rPr>
          <w:rFonts w:ascii="华文隶书" w:eastAsia="华文隶书"/>
          <w:i/>
          <w:sz w:val="72"/>
          <w:szCs w:val="72"/>
        </w:rPr>
      </w:pPr>
    </w:p>
    <w:p>
      <w:pPr>
        <w:spacing w:line="288" w:lineRule="auto"/>
        <w:jc w:val="right"/>
        <w:rPr>
          <w:rFonts w:ascii="华文隶书" w:eastAsia="华文隶书"/>
          <w:i/>
          <w:sz w:val="72"/>
          <w:szCs w:val="72"/>
        </w:rPr>
      </w:pPr>
    </w:p>
    <w:p>
      <w:pPr>
        <w:spacing w:line="288" w:lineRule="auto"/>
        <w:jc w:val="right"/>
        <w:rPr>
          <w:rFonts w:ascii="华文隶书" w:eastAsia="华文隶书"/>
          <w:i/>
          <w:sz w:val="72"/>
          <w:szCs w:val="72"/>
        </w:rPr>
      </w:pPr>
    </w:p>
    <w:p>
      <w:pPr>
        <w:jc w:val="right"/>
        <w:rPr>
          <w:rFonts w:ascii="隶书" w:eastAsia="隶书"/>
          <w:i/>
          <w:sz w:val="72"/>
          <w:szCs w:val="72"/>
        </w:rPr>
      </w:pPr>
      <w:r>
        <w:rPr>
          <w:rFonts w:hint="eastAsia" w:ascii="隶书" w:eastAsia="隶书"/>
          <w:i/>
          <w:sz w:val="72"/>
          <w:szCs w:val="72"/>
        </w:rPr>
        <w:t>医学部</w:t>
      </w:r>
    </w:p>
    <w:p>
      <w:pPr>
        <w:wordWrap w:val="0"/>
        <w:spacing w:line="283" w:lineRule="auto"/>
        <w:jc w:val="right"/>
        <w:outlineLvl w:val="0"/>
        <w:rPr>
          <w:rFonts w:ascii="Arial Unicode MS" w:hAnsi="Arial Unicode MS" w:eastAsia="Arial Unicode MS" w:cs="Arial Unicode MS"/>
          <w:b/>
          <w:i/>
          <w:w w:val="90"/>
          <w:sz w:val="40"/>
          <w:szCs w:val="40"/>
        </w:rPr>
      </w:pPr>
      <w:bookmarkStart w:id="17" w:name="_Toc534657584"/>
      <w:bookmarkStart w:id="18" w:name="_Toc392086429"/>
      <w:bookmarkStart w:id="19" w:name="_Toc534577253"/>
      <w:bookmarkStart w:id="20" w:name="_Toc422409360"/>
      <w:bookmarkStart w:id="21" w:name="_Toc392837587"/>
      <w:bookmarkStart w:id="22" w:name="_Toc520822592"/>
      <w:bookmarkStart w:id="23" w:name="_Toc393211216"/>
      <w:bookmarkStart w:id="24" w:name="_Toc519846372"/>
      <w:bookmarkStart w:id="25" w:name="_Toc12440053"/>
      <w:bookmarkStart w:id="26" w:name="_Toc392596068"/>
      <w:bookmarkStart w:id="27" w:name="_Toc488069044"/>
      <w:bookmarkStart w:id="28" w:name="_Toc422988812"/>
      <w:bookmarkStart w:id="29" w:name="_Toc423012013"/>
      <w:bookmarkStart w:id="30" w:name="_Toc392579508"/>
      <w:bookmarkStart w:id="31" w:name="_Toc393276238"/>
      <w:bookmarkStart w:id="32" w:name="_Toc393120831"/>
      <w:bookmarkStart w:id="33" w:name="_Toc422842488"/>
      <w:bookmarkStart w:id="34" w:name="_Toc110427513"/>
      <w:bookmarkStart w:id="35" w:name="_Toc45894395"/>
      <w:bookmarkStart w:id="36" w:name="_Toc392774712"/>
      <w:bookmarkStart w:id="37" w:name="_Toc392664187"/>
      <w:bookmarkStart w:id="38" w:name="_Toc45890742"/>
      <w:bookmarkStart w:id="39" w:name="_Toc46247687"/>
      <w:r>
        <w:rPr>
          <w:rFonts w:hint="eastAsia" w:ascii="Arial Unicode MS" w:hAnsi="Arial Unicode MS" w:eastAsia="Arial Unicode MS" w:cs="Arial Unicode MS"/>
          <w:b/>
          <w:i/>
          <w:w w:val="90"/>
          <w:sz w:val="40"/>
          <w:szCs w:val="40"/>
        </w:rPr>
        <w:t xml:space="preserve">Health Science </w:t>
      </w:r>
      <w:bookmarkEnd w:id="17"/>
      <w:bookmarkEnd w:id="18"/>
      <w:bookmarkEnd w:id="19"/>
      <w:r>
        <w:rPr>
          <w:rFonts w:hint="eastAsia" w:ascii="Arial Unicode MS" w:hAnsi="Arial Unicode MS" w:eastAsia="Arial Unicode MS" w:cs="Arial Unicode MS"/>
          <w:b/>
          <w:i/>
          <w:w w:val="90"/>
          <w:sz w:val="40"/>
          <w:szCs w:val="40"/>
        </w:rPr>
        <w:t>Center</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pPr>
        <w:spacing w:line="283" w:lineRule="auto"/>
        <w:jc w:val="right"/>
        <w:outlineLvl w:val="0"/>
        <w:rPr>
          <w:rFonts w:ascii="Arial Unicode MS" w:hAnsi="Arial Unicode MS" w:eastAsia="Arial Unicode MS" w:cs="Arial Unicode MS"/>
          <w:b/>
          <w:i/>
          <w:w w:val="90"/>
          <w:sz w:val="40"/>
          <w:szCs w:val="40"/>
        </w:rPr>
      </w:pPr>
    </w:p>
    <w:p>
      <w:pPr>
        <w:spacing w:line="283" w:lineRule="auto"/>
        <w:jc w:val="left"/>
        <w:outlineLvl w:val="0"/>
        <w:rPr>
          <w:rFonts w:ascii="Arial Unicode MS" w:hAnsi="Arial Unicode MS" w:eastAsia="Arial Unicode MS" w:cs="Arial Unicode MS"/>
          <w:b/>
          <w:i/>
          <w:w w:val="90"/>
          <w:sz w:val="40"/>
          <w:szCs w:val="40"/>
        </w:rPr>
      </w:pPr>
    </w:p>
    <w:p>
      <w:pPr>
        <w:spacing w:line="286" w:lineRule="auto"/>
        <w:ind w:firstLine="420"/>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jc w:val="center"/>
        <w:rPr>
          <w:rFonts w:ascii="Calibri" w:hAnsi="Calibri" w:eastAsia="宋体" w:cs="Times New Roman"/>
        </w:rPr>
      </w:pPr>
    </w:p>
    <w:p>
      <w:pPr>
        <w:rPr>
          <w:rFonts w:ascii="Calibri" w:hAnsi="Calibri" w:eastAsia="宋体" w:cs="Times New Roman"/>
        </w:rPr>
      </w:pPr>
    </w:p>
    <w:p>
      <w:pPr>
        <w:rPr>
          <w:rFonts w:ascii="Calibri" w:hAnsi="Calibri" w:eastAsia="宋体" w:cs="Times New Roman"/>
        </w:rPr>
        <w:sectPr>
          <w:headerReference r:id="rId5" w:type="default"/>
          <w:footerReference r:id="rId6" w:type="default"/>
          <w:type w:val="oddPage"/>
          <w:pgSz w:w="11906" w:h="16838"/>
          <w:pgMar w:top="1701" w:right="1531" w:bottom="1418" w:left="1531" w:header="1701" w:footer="964" w:gutter="0"/>
          <w:cols w:space="720" w:num="1"/>
          <w:docGrid w:linePitch="291" w:charSpace="3434"/>
        </w:sectPr>
      </w:pPr>
    </w:p>
    <w:p>
      <w:pPr>
        <w:keepNext/>
        <w:keepLines/>
        <w:spacing w:before="340" w:after="340" w:line="240" w:lineRule="auto"/>
        <w:jc w:val="center"/>
        <w:outlineLvl w:val="0"/>
        <w:rPr>
          <w:rFonts w:ascii="Times New Roman" w:hAnsi="Times New Roman" w:eastAsia="隶书" w:cs="Times New Roman"/>
          <w:bCs/>
          <w:kern w:val="44"/>
          <w:sz w:val="44"/>
          <w:szCs w:val="44"/>
        </w:rPr>
      </w:pPr>
      <w:bookmarkStart w:id="40" w:name="_Toc110427514"/>
      <w:r>
        <w:rPr>
          <w:rFonts w:hint="eastAsia" w:ascii="Times New Roman" w:hAnsi="Times New Roman" w:eastAsia="隶书" w:cs="Times New Roman"/>
          <w:bCs/>
          <w:kern w:val="44"/>
          <w:sz w:val="44"/>
          <w:szCs w:val="44"/>
        </w:rPr>
        <w:t>医学部</w:t>
      </w:r>
      <w:bookmarkEnd w:id="40"/>
    </w:p>
    <w:p>
      <w:pPr>
        <w:pStyle w:val="3"/>
        <w:spacing w:before="340" w:after="340" w:line="240" w:lineRule="auto"/>
        <w:jc w:val="center"/>
        <w:rPr>
          <w:b w:val="0"/>
          <w:sz w:val="28"/>
          <w:szCs w:val="28"/>
        </w:rPr>
      </w:pPr>
      <w:bookmarkStart w:id="41" w:name="_Toc327973317"/>
      <w:bookmarkStart w:id="42" w:name="_Toc278294912"/>
      <w:bookmarkStart w:id="43" w:name="_Toc487802497"/>
      <w:bookmarkStart w:id="44" w:name="_Toc110427515"/>
      <w:bookmarkStart w:id="45" w:name="_Toc422409362"/>
      <w:bookmarkStart w:id="46" w:name="_Toc520822594"/>
      <w:bookmarkStart w:id="47" w:name="_Toc45890744"/>
      <w:bookmarkStart w:id="48" w:name="_Toc12440055"/>
      <w:r>
        <w:rPr>
          <w:b w:val="0"/>
          <w:sz w:val="28"/>
          <w:szCs w:val="28"/>
        </w:rPr>
        <w:t>（一）博士</w:t>
      </w:r>
      <w:r>
        <w:rPr>
          <w:rFonts w:hint="eastAsia"/>
          <w:b w:val="0"/>
          <w:sz w:val="28"/>
          <w:szCs w:val="28"/>
        </w:rPr>
        <w:t>研究生</w:t>
      </w:r>
      <w:r>
        <w:rPr>
          <w:b w:val="0"/>
          <w:sz w:val="28"/>
          <w:szCs w:val="28"/>
        </w:rPr>
        <w:t>培养方案</w:t>
      </w:r>
      <w:bookmarkEnd w:id="41"/>
      <w:bookmarkEnd w:id="42"/>
      <w:bookmarkEnd w:id="43"/>
      <w:bookmarkEnd w:id="44"/>
      <w:bookmarkEnd w:id="45"/>
      <w:bookmarkEnd w:id="46"/>
      <w:bookmarkEnd w:id="47"/>
      <w:bookmarkEnd w:id="48"/>
    </w:p>
    <w:p>
      <w:pPr>
        <w:spacing w:before="360" w:after="360" w:line="240" w:lineRule="auto"/>
        <w:jc w:val="center"/>
        <w:rPr>
          <w:rFonts w:ascii="楷体_GB2312" w:hAnsi="Times New Roman" w:eastAsia="楷体_GB2312" w:cs="Times New Roman"/>
          <w:sz w:val="28"/>
          <w:szCs w:val="28"/>
        </w:rPr>
      </w:pPr>
      <w:bookmarkStart w:id="49" w:name="_Toc278294913"/>
      <w:r>
        <w:rPr>
          <w:rFonts w:hint="eastAsia" w:ascii="楷体_GB2312" w:hAnsi="Times New Roman" w:eastAsia="楷体_GB2312" w:cs="Times New Roman"/>
          <w:sz w:val="28"/>
          <w:szCs w:val="28"/>
        </w:rPr>
        <w:t>★</w:t>
      </w:r>
      <w:r>
        <w:rPr>
          <w:rFonts w:ascii="楷体_GB2312" w:hAnsi="Times New Roman" w:eastAsia="楷体_GB2312" w:cs="Times New Roman"/>
          <w:sz w:val="28"/>
          <w:szCs w:val="28"/>
        </w:rPr>
        <w:t>生物学（0710）攻读博士学位（学术型）研究生培养方案</w:t>
      </w:r>
    </w:p>
    <w:p>
      <w:pPr>
        <w:spacing w:before="120" w:beforeLines="50" w:after="120" w:afterLines="50" w:line="286" w:lineRule="auto"/>
        <w:rPr>
          <w:rFonts w:ascii="黑体" w:hAnsi="黑体" w:eastAsia="黑体"/>
          <w:sz w:val="24"/>
          <w:szCs w:val="24"/>
        </w:rPr>
      </w:pPr>
      <w:bookmarkStart w:id="50" w:name="_Toc519846375"/>
      <w:bookmarkStart w:id="51" w:name="_Toc520822595"/>
      <w:r>
        <w:rPr>
          <w:rFonts w:ascii="黑体" w:hAnsi="黑体" w:eastAsia="黑体"/>
          <w:sz w:val="24"/>
          <w:szCs w:val="24"/>
        </w:rPr>
        <w:t>一、培养目标</w:t>
      </w:r>
      <w:bookmarkEnd w:id="50"/>
      <w:bookmarkEnd w:id="51"/>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Times New Roman" w:hAnsi="Times New Roman" w:eastAsia="宋体" w:cs="Times New Roman"/>
          <w:szCs w:val="21"/>
        </w:rPr>
      </w:pPr>
      <w:bookmarkStart w:id="52" w:name="_Toc519846376"/>
      <w:bookmarkStart w:id="53" w:name="_Toc520822596"/>
      <w:r>
        <w:rPr>
          <w:rFonts w:ascii="Times New Roman" w:hAnsi="Times New Roman" w:eastAsia="宋体" w:cs="Times New Roman"/>
          <w:szCs w:val="21"/>
        </w:rPr>
        <w:t>秉承“扎根西部、服务国家、区域引领、世界一流”的办学定位，生物学博士生培养目标为：以科研创新能力培养为主，坚持德智体美</w:t>
      </w:r>
      <w:r>
        <w:rPr>
          <w:rFonts w:hint="eastAsia" w:ascii="Times New Roman" w:hAnsi="Times New Roman" w:eastAsia="宋体" w:cs="Times New Roman"/>
          <w:szCs w:val="21"/>
        </w:rPr>
        <w:t>劳</w:t>
      </w:r>
      <w:r>
        <w:rPr>
          <w:rFonts w:ascii="Times New Roman" w:hAnsi="Times New Roman" w:eastAsia="宋体" w:cs="Times New Roman"/>
          <w:szCs w:val="21"/>
        </w:rPr>
        <w:t>全面发展，培养造就具有</w:t>
      </w:r>
      <w:r>
        <w:rPr>
          <w:rFonts w:hint="eastAsia" w:ascii="Times New Roman" w:hAnsi="Times New Roman" w:eastAsia="宋体" w:cs="Times New Roman"/>
          <w:szCs w:val="21"/>
        </w:rPr>
        <w:t>强烈</w:t>
      </w:r>
      <w:r>
        <w:rPr>
          <w:rFonts w:ascii="Times New Roman" w:hAnsi="Times New Roman" w:eastAsia="宋体" w:cs="Times New Roman"/>
          <w:szCs w:val="21"/>
        </w:rPr>
        <w:t>社会责任感</w:t>
      </w:r>
      <w:r>
        <w:rPr>
          <w:rFonts w:hint="eastAsia" w:ascii="Times New Roman" w:hAnsi="Times New Roman" w:eastAsia="宋体" w:cs="Times New Roman"/>
          <w:szCs w:val="21"/>
        </w:rPr>
        <w:t>的</w:t>
      </w:r>
      <w:r>
        <w:rPr>
          <w:rFonts w:ascii="Times New Roman" w:hAnsi="Times New Roman" w:eastAsia="宋体" w:cs="Times New Roman"/>
          <w:szCs w:val="21"/>
        </w:rPr>
        <w:t>生物医学研究领域德才兼备的高层次创新型人才。具体要求是：</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 xml:space="preserve">1. </w:t>
      </w:r>
      <w:r>
        <w:rPr>
          <w:rFonts w:hint="eastAsia" w:ascii="Times New Roman" w:hAnsi="Times New Roman" w:eastAsia="宋体" w:cs="Times New Roman"/>
          <w:szCs w:val="21"/>
        </w:rPr>
        <w:t>掌握马克思主义基本原理，学习和贯彻习近平新时代中国特色社会主义思想和系列重要讲话精神，坚定道路自信、理论自信、制度自信、文化自信。热爱祖国，</w:t>
      </w:r>
      <w:r>
        <w:rPr>
          <w:rFonts w:ascii="Times New Roman" w:hAnsi="Times New Roman" w:eastAsia="宋体" w:cs="Times New Roman"/>
          <w:szCs w:val="21"/>
        </w:rPr>
        <w:t>遵纪守法</w:t>
      </w:r>
      <w:r>
        <w:rPr>
          <w:rFonts w:hint="eastAsia" w:ascii="Times New Roman" w:hAnsi="Times New Roman" w:eastAsia="宋体" w:cs="Times New Roman"/>
          <w:szCs w:val="21"/>
        </w:rPr>
        <w:t>，</w:t>
      </w:r>
      <w:r>
        <w:rPr>
          <w:rFonts w:ascii="Times New Roman" w:hAnsi="Times New Roman" w:eastAsia="宋体" w:cs="Times New Roman"/>
          <w:szCs w:val="21"/>
        </w:rPr>
        <w:t>品德</w:t>
      </w:r>
      <w:r>
        <w:rPr>
          <w:rFonts w:hint="eastAsia" w:ascii="Times New Roman" w:hAnsi="Times New Roman" w:eastAsia="宋体" w:cs="Times New Roman"/>
          <w:szCs w:val="21"/>
        </w:rPr>
        <w:t>优</w:t>
      </w:r>
      <w:r>
        <w:rPr>
          <w:rFonts w:ascii="Times New Roman" w:hAnsi="Times New Roman" w:eastAsia="宋体" w:cs="Times New Roman"/>
          <w:szCs w:val="21"/>
        </w:rPr>
        <w:t>良，治学严谨，</w:t>
      </w:r>
      <w:r>
        <w:rPr>
          <w:rFonts w:hint="eastAsia" w:ascii="Times New Roman" w:hAnsi="Times New Roman" w:eastAsia="宋体" w:cs="Times New Roman"/>
          <w:szCs w:val="21"/>
        </w:rPr>
        <w:t>学风端正，</w:t>
      </w:r>
      <w:r>
        <w:rPr>
          <w:rFonts w:ascii="Times New Roman" w:hAnsi="Times New Roman" w:eastAsia="宋体" w:cs="Times New Roman"/>
          <w:szCs w:val="21"/>
        </w:rPr>
        <w:t>有献身于</w:t>
      </w:r>
      <w:r>
        <w:rPr>
          <w:rFonts w:hint="eastAsia" w:ascii="Times New Roman" w:hAnsi="Times New Roman" w:eastAsia="宋体" w:cs="Times New Roman"/>
          <w:szCs w:val="21"/>
        </w:rPr>
        <w:t>生物学</w:t>
      </w:r>
      <w:r>
        <w:rPr>
          <w:rFonts w:ascii="Times New Roman" w:hAnsi="Times New Roman" w:eastAsia="宋体" w:cs="Times New Roman"/>
          <w:szCs w:val="21"/>
        </w:rPr>
        <w:t>科学研究的强烈事业心和创新精神</w:t>
      </w:r>
      <w:r>
        <w:rPr>
          <w:rFonts w:hint="eastAsia" w:ascii="Times New Roman" w:hAnsi="Times New Roman" w:eastAsia="宋体" w:cs="Times New Roman"/>
          <w:szCs w:val="21"/>
        </w:rPr>
        <w:t>。</w:t>
      </w:r>
      <w:r>
        <w:rPr>
          <w:rFonts w:ascii="Times New Roman" w:hAnsi="Times New Roman" w:eastAsia="宋体" w:cs="Times New Roman"/>
          <w:szCs w:val="21"/>
        </w:rPr>
        <w:t>具有健康的体魄和良好的心理素质</w:t>
      </w:r>
      <w:r>
        <w:rPr>
          <w:rFonts w:hint="eastAsia" w:ascii="Times New Roman" w:hAnsi="Times New Roman" w:eastAsia="宋体" w:cs="Times New Roman"/>
          <w:szCs w:val="21"/>
        </w:rPr>
        <w:t>，愿积极为祖国医学事业发展贡献自己的才智</w:t>
      </w:r>
      <w:r>
        <w:rPr>
          <w:rFonts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2. 具</w:t>
      </w:r>
      <w:r>
        <w:rPr>
          <w:rFonts w:hint="eastAsia" w:ascii="Times New Roman" w:hAnsi="Times New Roman" w:eastAsia="宋体" w:cs="Times New Roman"/>
          <w:szCs w:val="21"/>
        </w:rPr>
        <w:t>备</w:t>
      </w:r>
      <w:r>
        <w:rPr>
          <w:rFonts w:ascii="Times New Roman" w:hAnsi="Times New Roman" w:eastAsia="宋体" w:cs="Times New Roman"/>
          <w:szCs w:val="21"/>
        </w:rPr>
        <w:t>扎实的基础理论，掌握</w:t>
      </w:r>
      <w:r>
        <w:rPr>
          <w:rFonts w:hint="eastAsia" w:ascii="Times New Roman" w:hAnsi="Times New Roman" w:eastAsia="宋体" w:cs="Times New Roman"/>
          <w:szCs w:val="21"/>
        </w:rPr>
        <w:t>本学科的</w:t>
      </w:r>
      <w:r>
        <w:rPr>
          <w:rFonts w:ascii="Times New Roman" w:hAnsi="Times New Roman" w:eastAsia="宋体" w:cs="Times New Roman"/>
          <w:szCs w:val="21"/>
        </w:rPr>
        <w:t>专业</w:t>
      </w:r>
      <w:r>
        <w:rPr>
          <w:rFonts w:hint="eastAsia" w:ascii="Times New Roman" w:hAnsi="Times New Roman" w:eastAsia="宋体" w:cs="Times New Roman"/>
          <w:szCs w:val="21"/>
        </w:rPr>
        <w:t>基本</w:t>
      </w:r>
      <w:r>
        <w:rPr>
          <w:rFonts w:ascii="Times New Roman" w:hAnsi="Times New Roman" w:eastAsia="宋体" w:cs="Times New Roman"/>
          <w:szCs w:val="21"/>
        </w:rPr>
        <w:t>知识和</w:t>
      </w:r>
      <w:r>
        <w:rPr>
          <w:rFonts w:hint="eastAsia" w:ascii="Times New Roman" w:hAnsi="Times New Roman" w:eastAsia="宋体" w:cs="Times New Roman"/>
          <w:szCs w:val="21"/>
        </w:rPr>
        <w:t>基本技能。</w:t>
      </w:r>
      <w:r>
        <w:rPr>
          <w:rFonts w:ascii="Times New Roman" w:hAnsi="Times New Roman" w:eastAsia="宋体" w:cs="Times New Roman"/>
          <w:szCs w:val="21"/>
        </w:rPr>
        <w:t>能熟练应用各种</w:t>
      </w:r>
      <w:r>
        <w:rPr>
          <w:rFonts w:hint="eastAsia" w:ascii="Times New Roman" w:hAnsi="Times New Roman" w:eastAsia="宋体" w:cs="Times New Roman"/>
          <w:szCs w:val="21"/>
        </w:rPr>
        <w:t>医学</w:t>
      </w:r>
      <w:r>
        <w:rPr>
          <w:rFonts w:ascii="Times New Roman" w:hAnsi="Times New Roman" w:eastAsia="宋体" w:cs="Times New Roman"/>
          <w:szCs w:val="21"/>
        </w:rPr>
        <w:t>数据库</w:t>
      </w:r>
      <w:r>
        <w:rPr>
          <w:rFonts w:hint="eastAsia" w:ascii="Times New Roman" w:hAnsi="Times New Roman" w:eastAsia="宋体" w:cs="Times New Roman"/>
          <w:szCs w:val="21"/>
        </w:rPr>
        <w:t>，掌握</w:t>
      </w:r>
      <w:r>
        <w:rPr>
          <w:rFonts w:ascii="Times New Roman" w:hAnsi="Times New Roman" w:eastAsia="宋体" w:cs="Times New Roman"/>
          <w:szCs w:val="21"/>
        </w:rPr>
        <w:t>文献检索</w:t>
      </w:r>
      <w:r>
        <w:rPr>
          <w:rFonts w:hint="eastAsia" w:ascii="Times New Roman" w:hAnsi="Times New Roman" w:eastAsia="宋体" w:cs="Times New Roman"/>
          <w:szCs w:val="21"/>
        </w:rPr>
        <w:t>和管理。</w:t>
      </w:r>
      <w:r>
        <w:rPr>
          <w:rFonts w:ascii="Times New Roman" w:hAnsi="Times New Roman" w:eastAsia="宋体" w:cs="Times New Roman"/>
          <w:szCs w:val="21"/>
        </w:rPr>
        <w:t>能熟练地阅读本专业的外文资料，具有一定的</w:t>
      </w:r>
      <w:r>
        <w:rPr>
          <w:rFonts w:hint="eastAsia" w:ascii="Times New Roman" w:hAnsi="Times New Roman" w:eastAsia="宋体" w:cs="Times New Roman"/>
          <w:szCs w:val="21"/>
        </w:rPr>
        <w:t>外</w:t>
      </w:r>
      <w:r>
        <w:rPr>
          <w:rFonts w:ascii="Times New Roman" w:hAnsi="Times New Roman" w:eastAsia="宋体" w:cs="Times New Roman"/>
          <w:szCs w:val="21"/>
        </w:rPr>
        <w:t>文写作和口语交际能力</w:t>
      </w:r>
      <w:r>
        <w:rPr>
          <w:rFonts w:hint="eastAsia" w:ascii="Times New Roman" w:hAnsi="Times New Roman" w:eastAsia="宋体" w:cs="Times New Roman"/>
          <w:szCs w:val="21"/>
        </w:rPr>
        <w:t>。</w:t>
      </w:r>
      <w:r>
        <w:rPr>
          <w:rFonts w:ascii="Times New Roman" w:hAnsi="Times New Roman" w:eastAsia="宋体" w:cs="Times New Roman"/>
          <w:szCs w:val="21"/>
        </w:rPr>
        <w:t>具有一定</w:t>
      </w:r>
      <w:r>
        <w:rPr>
          <w:rFonts w:hint="eastAsia" w:ascii="Times New Roman" w:hAnsi="Times New Roman" w:eastAsia="宋体" w:cs="Times New Roman"/>
          <w:szCs w:val="21"/>
        </w:rPr>
        <w:t>的人文社会科学</w:t>
      </w:r>
      <w:r>
        <w:rPr>
          <w:rFonts w:ascii="Times New Roman" w:hAnsi="Times New Roman" w:eastAsia="宋体" w:cs="Times New Roman"/>
          <w:szCs w:val="21"/>
        </w:rPr>
        <w:t>基本知识。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3. 具</w:t>
      </w:r>
      <w:r>
        <w:rPr>
          <w:rFonts w:hint="eastAsia" w:ascii="Times New Roman" w:hAnsi="Times New Roman" w:eastAsia="宋体" w:cs="Times New Roman"/>
          <w:szCs w:val="21"/>
        </w:rPr>
        <w:t>备</w:t>
      </w:r>
      <w:r>
        <w:rPr>
          <w:rFonts w:ascii="Times New Roman" w:hAnsi="Times New Roman" w:eastAsia="宋体" w:cs="Times New Roman"/>
          <w:szCs w:val="21"/>
        </w:rPr>
        <w:t>主动获取知识的意识</w:t>
      </w:r>
      <w:r>
        <w:rPr>
          <w:rFonts w:hint="eastAsia" w:ascii="Times New Roman" w:hAnsi="Times New Roman" w:eastAsia="宋体" w:cs="Times New Roman"/>
          <w:szCs w:val="21"/>
        </w:rPr>
        <w:t>和能力</w:t>
      </w:r>
      <w:r>
        <w:rPr>
          <w:rFonts w:ascii="Times New Roman" w:hAnsi="Times New Roman" w:eastAsia="宋体" w:cs="Times New Roman"/>
          <w:szCs w:val="21"/>
        </w:rPr>
        <w:t>，</w:t>
      </w:r>
      <w:r>
        <w:rPr>
          <w:rFonts w:hint="eastAsia" w:ascii="Times New Roman" w:hAnsi="Times New Roman" w:eastAsia="宋体" w:cs="Times New Roman"/>
          <w:szCs w:val="21"/>
        </w:rPr>
        <w:t>能</w:t>
      </w:r>
      <w:r>
        <w:rPr>
          <w:rFonts w:ascii="Times New Roman" w:hAnsi="Times New Roman" w:eastAsia="宋体" w:cs="Times New Roman"/>
          <w:szCs w:val="21"/>
        </w:rPr>
        <w:t>综合运用</w:t>
      </w:r>
      <w:r>
        <w:rPr>
          <w:rFonts w:hint="eastAsia" w:ascii="Times New Roman" w:hAnsi="Times New Roman" w:eastAsia="宋体" w:cs="Times New Roman"/>
          <w:szCs w:val="21"/>
        </w:rPr>
        <w:t>生物学</w:t>
      </w:r>
      <w:r>
        <w:rPr>
          <w:rFonts w:ascii="Times New Roman" w:hAnsi="Times New Roman" w:eastAsia="宋体" w:cs="Times New Roman"/>
          <w:szCs w:val="21"/>
        </w:rPr>
        <w:t>理论知识和研究</w:t>
      </w:r>
      <w:r>
        <w:rPr>
          <w:rFonts w:hint="eastAsia" w:ascii="Times New Roman" w:hAnsi="Times New Roman" w:eastAsia="宋体" w:cs="Times New Roman"/>
          <w:szCs w:val="21"/>
        </w:rPr>
        <w:t>手段</w:t>
      </w:r>
      <w:r>
        <w:rPr>
          <w:rFonts w:ascii="Times New Roman" w:hAnsi="Times New Roman" w:eastAsia="宋体" w:cs="Times New Roman"/>
          <w:szCs w:val="21"/>
        </w:rPr>
        <w:t>，开展科学研究</w:t>
      </w:r>
      <w:r>
        <w:rPr>
          <w:rFonts w:hint="eastAsia" w:ascii="Times New Roman" w:hAnsi="Times New Roman" w:eastAsia="宋体" w:cs="Times New Roman"/>
          <w:szCs w:val="21"/>
        </w:rPr>
        <w:t>。</w:t>
      </w:r>
      <w:r>
        <w:rPr>
          <w:rFonts w:ascii="Times New Roman" w:hAnsi="Times New Roman" w:eastAsia="宋体" w:cs="Times New Roman"/>
          <w:szCs w:val="21"/>
        </w:rPr>
        <w:t>具有</w:t>
      </w:r>
      <w:r>
        <w:rPr>
          <w:rFonts w:hint="eastAsia" w:ascii="Times New Roman" w:hAnsi="Times New Roman" w:eastAsia="宋体" w:cs="Times New Roman"/>
          <w:szCs w:val="21"/>
        </w:rPr>
        <w:t>科学</w:t>
      </w:r>
      <w:r>
        <w:rPr>
          <w:rFonts w:ascii="Times New Roman" w:hAnsi="Times New Roman" w:eastAsia="宋体" w:cs="Times New Roman"/>
          <w:szCs w:val="21"/>
        </w:rPr>
        <w:t>逻辑思维</w:t>
      </w:r>
      <w:r>
        <w:rPr>
          <w:rFonts w:hint="eastAsia" w:ascii="Times New Roman" w:hAnsi="Times New Roman" w:eastAsia="宋体" w:cs="Times New Roman"/>
          <w:szCs w:val="21"/>
        </w:rPr>
        <w:t>、批判思维和较高</w:t>
      </w:r>
      <w:r>
        <w:rPr>
          <w:rFonts w:ascii="Times New Roman" w:hAnsi="Times New Roman" w:eastAsia="宋体" w:cs="Times New Roman"/>
          <w:szCs w:val="21"/>
        </w:rPr>
        <w:t>的创新能力，能够独立从事生物学及相关领域科学研究工作</w:t>
      </w:r>
      <w:r>
        <w:rPr>
          <w:rFonts w:hint="eastAsia" w:ascii="Times New Roman" w:hAnsi="Times New Roman" w:eastAsia="宋体" w:cs="Times New Roman"/>
          <w:szCs w:val="21"/>
        </w:rPr>
        <w:t>。</w:t>
      </w:r>
      <w:r>
        <w:rPr>
          <w:rFonts w:ascii="Times New Roman" w:hAnsi="Times New Roman" w:eastAsia="宋体" w:cs="Times New Roman"/>
          <w:szCs w:val="21"/>
        </w:rPr>
        <w:t>具有较</w:t>
      </w:r>
      <w:r>
        <w:rPr>
          <w:rFonts w:hint="eastAsia" w:ascii="Times New Roman" w:hAnsi="Times New Roman" w:eastAsia="宋体" w:cs="Times New Roman"/>
          <w:szCs w:val="21"/>
        </w:rPr>
        <w:t>强</w:t>
      </w:r>
      <w:r>
        <w:rPr>
          <w:rFonts w:ascii="Times New Roman" w:hAnsi="Times New Roman" w:eastAsia="宋体" w:cs="Times New Roman"/>
          <w:szCs w:val="21"/>
        </w:rPr>
        <w:t>的语言</w:t>
      </w:r>
      <w:r>
        <w:rPr>
          <w:rFonts w:hint="eastAsia" w:ascii="Times New Roman" w:hAnsi="Times New Roman" w:eastAsia="宋体" w:cs="Times New Roman"/>
          <w:szCs w:val="21"/>
        </w:rPr>
        <w:t>交流</w:t>
      </w:r>
      <w:r>
        <w:rPr>
          <w:rFonts w:ascii="Times New Roman" w:hAnsi="Times New Roman" w:eastAsia="宋体" w:cs="Times New Roman"/>
          <w:szCs w:val="21"/>
        </w:rPr>
        <w:t>和文字表达能力</w:t>
      </w:r>
      <w:r>
        <w:rPr>
          <w:rFonts w:hint="eastAsia"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w:t>
      </w:r>
      <w:r>
        <w:rPr>
          <w:rFonts w:ascii="Times New Roman" w:hAnsi="Times New Roman" w:eastAsia="宋体" w:cs="Times New Roman"/>
          <w:szCs w:val="21"/>
        </w:rPr>
        <w:t xml:space="preserve"> 具有强烈的社会责任感和良好的团队合作</w:t>
      </w:r>
      <w:r>
        <w:rPr>
          <w:rFonts w:hint="eastAsia" w:ascii="Times New Roman" w:hAnsi="Times New Roman" w:eastAsia="宋体" w:cs="Times New Roman"/>
          <w:szCs w:val="21"/>
        </w:rPr>
        <w:t>精神。</w:t>
      </w:r>
      <w:r>
        <w:rPr>
          <w:rFonts w:ascii="Times New Roman" w:hAnsi="Times New Roman" w:eastAsia="宋体" w:cs="Times New Roman"/>
          <w:szCs w:val="21"/>
        </w:rPr>
        <w:t>能够运用</w:t>
      </w:r>
      <w:r>
        <w:rPr>
          <w:rFonts w:hint="eastAsia" w:ascii="Times New Roman" w:hAnsi="Times New Roman" w:eastAsia="宋体" w:cs="Times New Roman"/>
          <w:szCs w:val="21"/>
        </w:rPr>
        <w:t>其他学科的前沿</w:t>
      </w:r>
      <w:r>
        <w:rPr>
          <w:rFonts w:ascii="Times New Roman" w:hAnsi="Times New Roman" w:eastAsia="宋体" w:cs="Times New Roman"/>
          <w:szCs w:val="21"/>
        </w:rPr>
        <w:t>知识和</w:t>
      </w:r>
      <w:r>
        <w:rPr>
          <w:rFonts w:hint="eastAsia" w:ascii="Times New Roman" w:hAnsi="Times New Roman" w:eastAsia="宋体" w:cs="Times New Roman"/>
          <w:szCs w:val="21"/>
        </w:rPr>
        <w:t>先进技术，</w:t>
      </w:r>
      <w:r>
        <w:rPr>
          <w:rFonts w:ascii="Times New Roman" w:hAnsi="Times New Roman" w:eastAsia="宋体" w:cs="Times New Roman"/>
          <w:szCs w:val="21"/>
        </w:rPr>
        <w:t>开展</w:t>
      </w:r>
      <w:r>
        <w:rPr>
          <w:rFonts w:hint="eastAsia" w:ascii="Times New Roman" w:hAnsi="Times New Roman" w:eastAsia="宋体" w:cs="Times New Roman"/>
          <w:szCs w:val="21"/>
        </w:rPr>
        <w:t>交叉融合性的</w:t>
      </w:r>
      <w:r>
        <w:rPr>
          <w:rFonts w:ascii="Times New Roman" w:hAnsi="Times New Roman" w:eastAsia="宋体" w:cs="Times New Roman"/>
          <w:szCs w:val="21"/>
        </w:rPr>
        <w:t>科学研究</w:t>
      </w:r>
      <w:r>
        <w:rPr>
          <w:rFonts w:hint="eastAsia" w:ascii="Times New Roman" w:hAnsi="Times New Roman" w:eastAsia="宋体" w:cs="Times New Roman"/>
          <w:szCs w:val="21"/>
        </w:rPr>
        <w:t>。</w:t>
      </w:r>
      <w:r>
        <w:rPr>
          <w:rFonts w:ascii="Times New Roman" w:hAnsi="Times New Roman" w:eastAsia="宋体" w:cs="Times New Roman"/>
          <w:szCs w:val="21"/>
        </w:rPr>
        <w:t>具有较强管理沟通能力，能够有效</w:t>
      </w:r>
      <w:r>
        <w:rPr>
          <w:rFonts w:hint="eastAsia" w:ascii="Times New Roman" w:hAnsi="Times New Roman" w:eastAsia="宋体" w:cs="Times New Roman"/>
          <w:szCs w:val="21"/>
        </w:rPr>
        <w:t>利用</w:t>
      </w:r>
      <w:r>
        <w:rPr>
          <w:rFonts w:ascii="Times New Roman" w:hAnsi="Times New Roman" w:eastAsia="宋体" w:cs="Times New Roman"/>
          <w:szCs w:val="21"/>
        </w:rPr>
        <w:t>各种资源</w:t>
      </w:r>
      <w:r>
        <w:rPr>
          <w:rFonts w:hint="eastAsia" w:ascii="Times New Roman" w:hAnsi="Times New Roman" w:eastAsia="宋体" w:cs="Times New Roman"/>
          <w:szCs w:val="21"/>
        </w:rPr>
        <w:t>提高工</w:t>
      </w:r>
      <w:r>
        <w:rPr>
          <w:rFonts w:ascii="Times New Roman" w:hAnsi="Times New Roman" w:eastAsia="宋体" w:cs="Times New Roman"/>
          <w:szCs w:val="21"/>
        </w:rPr>
        <w:t>作效率。</w:t>
      </w:r>
    </w:p>
    <w:p>
      <w:pPr>
        <w:spacing w:before="120" w:beforeLines="50" w:after="120" w:afterLines="50" w:line="286" w:lineRule="auto"/>
        <w:rPr>
          <w:rFonts w:ascii="黑体" w:hAnsi="黑体" w:eastAsia="黑体"/>
          <w:sz w:val="24"/>
          <w:szCs w:val="24"/>
        </w:rPr>
      </w:pPr>
      <w:r>
        <w:rPr>
          <w:rFonts w:ascii="黑体" w:hAnsi="黑体" w:eastAsia="黑体"/>
          <w:sz w:val="24"/>
          <w:szCs w:val="24"/>
        </w:rPr>
        <w:t>二、研究方向</w:t>
      </w:r>
      <w:bookmarkEnd w:id="52"/>
      <w:bookmarkEnd w:id="53"/>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1．生理学；</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2．神经生物学；</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3．遗传学；</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4．细胞生物学；</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5．生物化学与分子生物学；</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w:t>
      </w:r>
      <w:r>
        <w:rPr>
          <w:rFonts w:hint="eastAsia" w:ascii="Times New Roman" w:hAnsi="Times New Roman" w:eastAsia="宋体" w:cs="Times New Roman"/>
          <w:szCs w:val="21"/>
        </w:rPr>
        <w:t>生物物理学</w:t>
      </w:r>
      <w:r>
        <w:rPr>
          <w:rFonts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7</w:t>
      </w:r>
      <w:r>
        <w:rPr>
          <w:rFonts w:ascii="Times New Roman" w:hAnsi="Times New Roman" w:eastAsia="宋体" w:cs="Times New Roman"/>
          <w:szCs w:val="21"/>
        </w:rPr>
        <w:t>．</w:t>
      </w:r>
      <w:r>
        <w:rPr>
          <w:rFonts w:hint="eastAsia" w:ascii="Times New Roman" w:hAnsi="Times New Roman" w:eastAsia="宋体" w:cs="Times New Roman"/>
          <w:szCs w:val="21"/>
        </w:rPr>
        <w:t>智能医学工程(交叉)。</w:t>
      </w:r>
    </w:p>
    <w:p>
      <w:pPr>
        <w:spacing w:before="120" w:beforeLines="50" w:after="120" w:afterLines="50" w:line="286" w:lineRule="auto"/>
        <w:rPr>
          <w:rFonts w:ascii="黑体" w:hAnsi="黑体" w:eastAsia="黑体"/>
          <w:sz w:val="24"/>
          <w:szCs w:val="24"/>
        </w:rPr>
      </w:pPr>
      <w:bookmarkStart w:id="54" w:name="_Toc519846377"/>
      <w:bookmarkStart w:id="55" w:name="_Toc520822597"/>
      <w:r>
        <w:rPr>
          <w:rFonts w:ascii="黑体" w:hAnsi="黑体" w:eastAsia="黑体"/>
          <w:sz w:val="24"/>
          <w:szCs w:val="24"/>
        </w:rPr>
        <w:t>三、学习年限</w:t>
      </w:r>
      <w:bookmarkEnd w:id="54"/>
      <w:bookmarkEnd w:id="55"/>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本专业博士生的学习年限为3-5年，第一学年学习专业基础理论，掌握进行科研所必需的基本技能并写出文献综述。从第二年开始,在导师指导下进入课题研究和学位论文准备阶段。从事课题研究工作（选题、实验设计、实验操作、数据处理、结果分析总结、论文撰写等）的时间不得少于2年。</w:t>
      </w:r>
    </w:p>
    <w:p>
      <w:pPr>
        <w:spacing w:before="120" w:beforeLines="50" w:after="120" w:afterLines="50" w:line="286" w:lineRule="auto"/>
        <w:rPr>
          <w:rFonts w:ascii="黑体" w:hAnsi="黑体" w:eastAsia="黑体"/>
          <w:sz w:val="24"/>
          <w:szCs w:val="24"/>
        </w:rPr>
      </w:pPr>
      <w:bookmarkStart w:id="56" w:name="_Toc520822598"/>
      <w:bookmarkStart w:id="57" w:name="_Toc519846378"/>
      <w:r>
        <w:rPr>
          <w:rFonts w:ascii="黑体" w:hAnsi="黑体" w:eastAsia="黑体"/>
          <w:sz w:val="24"/>
          <w:szCs w:val="24"/>
        </w:rPr>
        <w:t>四、培养方式</w:t>
      </w:r>
      <w:bookmarkEnd w:id="56"/>
      <w:bookmarkEnd w:id="57"/>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1</w:t>
      </w:r>
      <w:r>
        <w:rPr>
          <w:rFonts w:ascii="Times New Roman" w:hAnsi="Times New Roman" w:eastAsia="宋体" w:cs="Times New Roman"/>
          <w:szCs w:val="21"/>
        </w:rPr>
        <w:t>．</w:t>
      </w:r>
      <w:r>
        <w:rPr>
          <w:rFonts w:cs="Times New Roman" w:asciiTheme="minorEastAsia" w:hAnsiTheme="minorEastAsia"/>
          <w:szCs w:val="21"/>
        </w:rPr>
        <w:t>导师小组联合指导，导师负责制。各系、中心应成立以博士生导师为</w:t>
      </w:r>
      <w:r>
        <w:rPr>
          <w:rFonts w:ascii="Times New Roman" w:hAnsi="Times New Roman" w:cs="Times New Roman"/>
          <w:szCs w:val="21"/>
        </w:rPr>
        <w:t>主5</w:t>
      </w:r>
      <w:r>
        <w:rPr>
          <w:rFonts w:cs="Times New Roman" w:asciiTheme="minorEastAsia" w:hAnsiTheme="minorEastAsia"/>
          <w:szCs w:val="21"/>
        </w:rPr>
        <w:t>人指导小组及课题小组的有关成员，共同协助搞好</w:t>
      </w:r>
      <w:r>
        <w:rPr>
          <w:rFonts w:hint="eastAsia" w:cs="Times New Roman" w:asciiTheme="minorEastAsia" w:hAnsiTheme="minorEastAsia"/>
          <w:szCs w:val="21"/>
        </w:rPr>
        <w:t>博士</w:t>
      </w:r>
      <w:r>
        <w:rPr>
          <w:rFonts w:cs="Times New Roman" w:asciiTheme="minorEastAsia" w:hAnsiTheme="minorEastAsia"/>
          <w:szCs w:val="21"/>
        </w:rPr>
        <w:t>研究生的培养工作。</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2</w:t>
      </w:r>
      <w:r>
        <w:rPr>
          <w:rFonts w:ascii="Times New Roman" w:hAnsi="Times New Roman" w:eastAsia="宋体" w:cs="Times New Roman"/>
          <w:szCs w:val="21"/>
        </w:rPr>
        <w:t>．</w:t>
      </w:r>
      <w:r>
        <w:rPr>
          <w:rFonts w:cs="Times New Roman" w:asciiTheme="minorEastAsia" w:hAnsiTheme="minorEastAsia"/>
          <w:szCs w:val="21"/>
        </w:rPr>
        <w:t>课程学习要满足需要的学分；课程包括本专业的基础和前沿课程和开展自己研究工作的必要知识和技术，可采用上课、学术报告、国际交流、讨论等方式。</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3</w:t>
      </w:r>
      <w:r>
        <w:rPr>
          <w:rFonts w:ascii="Times New Roman" w:hAnsi="Times New Roman" w:eastAsia="宋体" w:cs="Times New Roman"/>
          <w:szCs w:val="21"/>
        </w:rPr>
        <w:t>．</w:t>
      </w:r>
      <w:r>
        <w:rPr>
          <w:rFonts w:cs="Times New Roman" w:asciiTheme="minorEastAsia" w:hAnsiTheme="minorEastAsia"/>
          <w:szCs w:val="21"/>
        </w:rPr>
        <w:t>积极鼓励学生参加会议、讲座等，展丰富多彩的科研活动，营造浓郁的科研氛围，提升学生的科研兴趣，增强学生解决重大科学问题的动力。</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4</w:t>
      </w:r>
      <w:r>
        <w:rPr>
          <w:rFonts w:ascii="Times New Roman" w:hAnsi="Times New Roman" w:eastAsia="宋体" w:cs="Times New Roman"/>
          <w:szCs w:val="21"/>
        </w:rPr>
        <w:t>．</w:t>
      </w:r>
      <w:r>
        <w:rPr>
          <w:rFonts w:cs="Times New Roman" w:asciiTheme="minorEastAsia" w:hAnsiTheme="minorEastAsia"/>
          <w:szCs w:val="21"/>
        </w:rPr>
        <w:t>通过课题组、院系的科研汇报会、文献阅读会、小组讨论会，个别指导等形式，逐步强化学生的科研创新能力。</w:t>
      </w:r>
    </w:p>
    <w:p>
      <w:pPr>
        <w:keepNext w:val="0"/>
        <w:keepLines w:val="0"/>
        <w:pageBreakBefore w:val="0"/>
        <w:widowControl w:val="0"/>
        <w:tabs>
          <w:tab w:val="left" w:pos="3900"/>
        </w:tabs>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5</w:t>
      </w:r>
      <w:r>
        <w:rPr>
          <w:rFonts w:ascii="Times New Roman" w:hAnsi="Times New Roman" w:eastAsia="宋体" w:cs="Times New Roman"/>
          <w:szCs w:val="21"/>
        </w:rPr>
        <w:t>．</w:t>
      </w:r>
      <w:r>
        <w:rPr>
          <w:rFonts w:cs="Times New Roman" w:asciiTheme="minorEastAsia" w:hAnsiTheme="minorEastAsia"/>
          <w:szCs w:val="21"/>
        </w:rPr>
        <w:t>加强培养期间的过程管理，第一学年学习专业基础理论，掌握进行科研所必需的基本技能并写出文献综述。从第二年开始在导师指导下进入课题研究和学位论文准备阶段。</w:t>
      </w:r>
      <w:r>
        <w:rPr>
          <w:rFonts w:hint="eastAsia" w:cs="Times New Roman" w:asciiTheme="minorEastAsia" w:hAnsiTheme="minorEastAsia"/>
          <w:szCs w:val="21"/>
        </w:rPr>
        <w:t>博士生</w:t>
      </w:r>
      <w:r>
        <w:rPr>
          <w:rFonts w:cs="Times New Roman" w:asciiTheme="minorEastAsia" w:hAnsiTheme="minorEastAsia"/>
          <w:szCs w:val="21"/>
        </w:rPr>
        <w:t>应在第第四学年末完成博士中期考核。</w:t>
      </w:r>
    </w:p>
    <w:p>
      <w:pPr>
        <w:spacing w:before="120" w:beforeLines="50" w:after="120" w:afterLines="50" w:line="286" w:lineRule="auto"/>
        <w:rPr>
          <w:rFonts w:ascii="Times New Roman" w:hAnsi="Times New Roman" w:eastAsia="黑体" w:cs="Times New Roman"/>
          <w:sz w:val="24"/>
          <w:szCs w:val="20"/>
        </w:rPr>
      </w:pPr>
      <w:r>
        <w:rPr>
          <w:rFonts w:ascii="Times New Roman" w:hAnsi="Times New Roman" w:eastAsia="黑体" w:cs="Times New Roman"/>
          <w:sz w:val="24"/>
          <w:szCs w:val="20"/>
        </w:rPr>
        <w:t>五、课程设置及学分要求(</w:t>
      </w:r>
      <w:r>
        <w:rPr>
          <w:rFonts w:hint="eastAsia" w:ascii="Times New Roman" w:hAnsi="Times New Roman" w:eastAsia="黑体" w:cs="Times New Roman"/>
          <w:sz w:val="24"/>
          <w:szCs w:val="20"/>
        </w:rPr>
        <w:t>27</w:t>
      </w:r>
      <w:r>
        <w:rPr>
          <w:rFonts w:ascii="Times New Roman" w:hAnsi="Times New Roman" w:eastAsia="黑体" w:cs="Times New Roman"/>
          <w:sz w:val="24"/>
          <w:szCs w:val="20"/>
        </w:rPr>
        <w:t>学分)</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本学科学术型培养方案共需修满</w:t>
      </w:r>
      <w:r>
        <w:rPr>
          <w:rFonts w:cs="Times New Roman" w:asciiTheme="minorEastAsia" w:hAnsiTheme="minorEastAsia"/>
          <w:szCs w:val="21"/>
        </w:rPr>
        <w:t>27</w:t>
      </w:r>
      <w:r>
        <w:rPr>
          <w:rFonts w:hint="eastAsia" w:cs="Times New Roman" w:asciiTheme="minorEastAsia" w:hAnsiTheme="minorEastAsia"/>
          <w:szCs w:val="21"/>
        </w:rPr>
        <w:t>学分，其中课程学习</w:t>
      </w:r>
      <w:r>
        <w:rPr>
          <w:rFonts w:cs="Times New Roman" w:asciiTheme="minorEastAsia" w:hAnsiTheme="minorEastAsia"/>
          <w:szCs w:val="21"/>
        </w:rPr>
        <w:t>10</w:t>
      </w:r>
      <w:r>
        <w:rPr>
          <w:rFonts w:hint="eastAsia" w:cs="Times New Roman" w:asciiTheme="minorEastAsia" w:hAnsiTheme="minorEastAsia"/>
          <w:szCs w:val="21"/>
        </w:rPr>
        <w:t>学分，必修环节</w:t>
      </w:r>
      <w:r>
        <w:rPr>
          <w:rFonts w:cs="Times New Roman" w:asciiTheme="minorEastAsia" w:hAnsiTheme="minorEastAsia"/>
          <w:szCs w:val="21"/>
        </w:rPr>
        <w:t>17学分</w:t>
      </w:r>
      <w:r>
        <w:rPr>
          <w:rFonts w:hint="eastAsia" w:cs="Times New Roman" w:asciiTheme="minorEastAsia" w:hAnsiTheme="minorEastAsia"/>
          <w:szCs w:val="21"/>
        </w:rPr>
        <w:t>。</w:t>
      </w:r>
      <w:r>
        <w:rPr>
          <w:rFonts w:cs="Times New Roman" w:asciiTheme="minorEastAsia" w:hAnsiTheme="minorEastAsia"/>
          <w:szCs w:val="21"/>
        </w:rPr>
        <w:t>课程学习包括：学位课6学分，选修课4学分。</w:t>
      </w:r>
    </w:p>
    <w:tbl>
      <w:tblPr>
        <w:tblStyle w:val="37"/>
        <w:tblW w:w="4797" w:type="pct"/>
        <w:tblInd w:w="1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522"/>
        <w:gridCol w:w="1386"/>
        <w:gridCol w:w="1870"/>
        <w:gridCol w:w="1986"/>
        <w:gridCol w:w="541"/>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7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b/>
                <w:spacing w:val="-8"/>
                <w:sz w:val="21"/>
                <w:szCs w:val="21"/>
              </w:rPr>
            </w:pPr>
            <w:r>
              <w:rPr>
                <w:rFonts w:hint="eastAsia" w:ascii="宋体" w:hAnsi="宋体" w:eastAsia="宋体" w:cs="宋体"/>
                <w:b/>
                <w:spacing w:val="-8"/>
                <w:sz w:val="21"/>
                <w:szCs w:val="21"/>
              </w:rPr>
              <w:t>课程性质</w:t>
            </w:r>
          </w:p>
        </w:tc>
        <w:tc>
          <w:tcPr>
            <w:tcW w:w="3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b/>
                <w:spacing w:val="-8"/>
                <w:sz w:val="21"/>
                <w:szCs w:val="21"/>
              </w:rPr>
            </w:pPr>
            <w:r>
              <w:rPr>
                <w:rFonts w:hint="eastAsia" w:ascii="宋体" w:hAnsi="宋体" w:eastAsia="宋体" w:cs="宋体"/>
                <w:b/>
                <w:spacing w:val="-8"/>
                <w:sz w:val="21"/>
                <w:szCs w:val="21"/>
              </w:rPr>
              <w:t>序号</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b/>
                <w:spacing w:val="-8"/>
                <w:sz w:val="21"/>
                <w:szCs w:val="21"/>
              </w:rPr>
            </w:pPr>
            <w:r>
              <w:rPr>
                <w:rFonts w:hint="eastAsia" w:ascii="宋体" w:hAnsi="宋体" w:eastAsia="宋体" w:cs="宋体"/>
                <w:b/>
                <w:spacing w:val="-8"/>
                <w:sz w:val="21"/>
                <w:szCs w:val="21"/>
              </w:rPr>
              <w:t>课程编号</w:t>
            </w:r>
          </w:p>
        </w:tc>
        <w:tc>
          <w:tcPr>
            <w:tcW w:w="10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b/>
                <w:spacing w:val="-8"/>
                <w:sz w:val="21"/>
                <w:szCs w:val="21"/>
              </w:rPr>
            </w:pPr>
            <w:r>
              <w:rPr>
                <w:rFonts w:hint="eastAsia" w:ascii="宋体" w:hAnsi="宋体" w:eastAsia="宋体" w:cs="宋体"/>
                <w:b/>
                <w:spacing w:val="-8"/>
                <w:sz w:val="21"/>
                <w:szCs w:val="21"/>
              </w:rPr>
              <w:t>统一编码</w:t>
            </w:r>
          </w:p>
        </w:tc>
        <w:tc>
          <w:tcPr>
            <w:tcW w:w="11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50" w:right="-50"/>
              <w:jc w:val="center"/>
              <w:textAlignment w:val="auto"/>
              <w:rPr>
                <w:rFonts w:hint="eastAsia" w:ascii="宋体" w:hAnsi="宋体" w:eastAsia="宋体" w:cs="宋体"/>
                <w:b/>
                <w:spacing w:val="-8"/>
                <w:sz w:val="21"/>
                <w:szCs w:val="21"/>
              </w:rPr>
            </w:pPr>
            <w:r>
              <w:rPr>
                <w:rFonts w:hint="eastAsia" w:ascii="宋体" w:hAnsi="宋体" w:eastAsia="宋体" w:cs="宋体"/>
                <w:b/>
                <w:spacing w:val="-8"/>
                <w:sz w:val="21"/>
                <w:szCs w:val="21"/>
              </w:rPr>
              <w:t>课程名称</w:t>
            </w:r>
          </w:p>
        </w:tc>
        <w:tc>
          <w:tcPr>
            <w:tcW w:w="3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b/>
                <w:spacing w:val="-8"/>
                <w:sz w:val="21"/>
                <w:szCs w:val="21"/>
              </w:rPr>
            </w:pPr>
            <w:r>
              <w:rPr>
                <w:rFonts w:hint="eastAsia" w:ascii="宋体" w:hAnsi="宋体" w:eastAsia="宋体" w:cs="宋体"/>
                <w:b/>
                <w:spacing w:val="-8"/>
                <w:sz w:val="21"/>
                <w:szCs w:val="21"/>
              </w:rPr>
              <w:t>学分</w:t>
            </w:r>
          </w:p>
        </w:tc>
        <w:tc>
          <w:tcPr>
            <w:tcW w:w="6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b/>
                <w:spacing w:val="-8"/>
                <w:sz w:val="21"/>
                <w:szCs w:val="21"/>
              </w:rPr>
            </w:pPr>
            <w:r>
              <w:rPr>
                <w:rFonts w:hint="eastAsia" w:ascii="宋体" w:hAnsi="宋体" w:eastAsia="宋体" w:cs="宋体"/>
                <w:b/>
                <w:spacing w:val="-8"/>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公共学位课</w:t>
            </w:r>
          </w:p>
        </w:tc>
        <w:tc>
          <w:tcPr>
            <w:tcW w:w="300"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797"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141006</w:t>
            </w:r>
          </w:p>
        </w:tc>
        <w:tc>
          <w:tcPr>
            <w:tcW w:w="1075"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MLMD600114</w:t>
            </w:r>
          </w:p>
        </w:tc>
        <w:tc>
          <w:tcPr>
            <w:tcW w:w="1142"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中国马克思主义与当代</w:t>
            </w:r>
          </w:p>
        </w:tc>
        <w:tc>
          <w:tcPr>
            <w:tcW w:w="311"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6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2学分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64"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学科学位课</w:t>
            </w:r>
          </w:p>
        </w:tc>
        <w:tc>
          <w:tcPr>
            <w:tcW w:w="300"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797"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152078</w:t>
            </w:r>
          </w:p>
        </w:tc>
        <w:tc>
          <w:tcPr>
            <w:tcW w:w="1075"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BASM611815</w:t>
            </w:r>
          </w:p>
        </w:tc>
        <w:tc>
          <w:tcPr>
            <w:tcW w:w="1142"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诺贝尔奖论文剖析</w:t>
            </w:r>
          </w:p>
        </w:tc>
        <w:tc>
          <w:tcPr>
            <w:tcW w:w="311"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6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2学分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64"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300"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152088</w:t>
            </w:r>
          </w:p>
        </w:tc>
        <w:tc>
          <w:tcPr>
            <w:tcW w:w="10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BIOL710515</w:t>
            </w:r>
          </w:p>
        </w:tc>
        <w:tc>
          <w:tcPr>
            <w:tcW w:w="11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生理学（2）</w:t>
            </w:r>
          </w:p>
        </w:tc>
        <w:tc>
          <w:tcPr>
            <w:tcW w:w="3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608"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根据学生的专业选修</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64"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300"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152089</w:t>
            </w:r>
          </w:p>
        </w:tc>
        <w:tc>
          <w:tcPr>
            <w:tcW w:w="10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BIOL710615</w:t>
            </w:r>
          </w:p>
        </w:tc>
        <w:tc>
          <w:tcPr>
            <w:tcW w:w="11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遗传学（2）</w:t>
            </w:r>
          </w:p>
        </w:tc>
        <w:tc>
          <w:tcPr>
            <w:tcW w:w="3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608"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64"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300"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152090</w:t>
            </w:r>
          </w:p>
        </w:tc>
        <w:tc>
          <w:tcPr>
            <w:tcW w:w="10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BIOL710715</w:t>
            </w:r>
          </w:p>
        </w:tc>
        <w:tc>
          <w:tcPr>
            <w:tcW w:w="11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细胞生物学（2）</w:t>
            </w:r>
          </w:p>
        </w:tc>
        <w:tc>
          <w:tcPr>
            <w:tcW w:w="3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608"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64"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300"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152091</w:t>
            </w:r>
          </w:p>
        </w:tc>
        <w:tc>
          <w:tcPr>
            <w:tcW w:w="10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BIOL710815</w:t>
            </w:r>
          </w:p>
        </w:tc>
        <w:tc>
          <w:tcPr>
            <w:tcW w:w="11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神经生物学（2）</w:t>
            </w:r>
          </w:p>
        </w:tc>
        <w:tc>
          <w:tcPr>
            <w:tcW w:w="3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608"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64"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300"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152092</w:t>
            </w:r>
          </w:p>
        </w:tc>
        <w:tc>
          <w:tcPr>
            <w:tcW w:w="10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BIOL710915</w:t>
            </w:r>
          </w:p>
        </w:tc>
        <w:tc>
          <w:tcPr>
            <w:tcW w:w="11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生</w:t>
            </w:r>
            <w:r>
              <w:rPr>
                <w:rFonts w:hint="eastAsia" w:ascii="宋体" w:hAnsi="宋体" w:eastAsia="宋体" w:cs="宋体"/>
                <w:spacing w:val="-4"/>
                <w:sz w:val="21"/>
                <w:szCs w:val="21"/>
              </w:rPr>
              <w:t>物化学与分子生物学（2</w:t>
            </w:r>
            <w:r>
              <w:rPr>
                <w:rFonts w:hint="eastAsia" w:ascii="宋体" w:hAnsi="宋体" w:eastAsia="宋体" w:cs="宋体"/>
                <w:sz w:val="21"/>
                <w:szCs w:val="21"/>
              </w:rPr>
              <w:t>）</w:t>
            </w:r>
          </w:p>
        </w:tc>
        <w:tc>
          <w:tcPr>
            <w:tcW w:w="3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608"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64"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300"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152188</w:t>
            </w:r>
          </w:p>
        </w:tc>
        <w:tc>
          <w:tcPr>
            <w:tcW w:w="10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BIOL711615</w:t>
            </w:r>
          </w:p>
        </w:tc>
        <w:tc>
          <w:tcPr>
            <w:tcW w:w="11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生物物理学</w:t>
            </w:r>
            <w:r>
              <w:rPr>
                <w:rFonts w:hint="eastAsia" w:ascii="宋体" w:hAnsi="宋体" w:eastAsia="宋体" w:cs="宋体"/>
                <w:spacing w:val="-4"/>
                <w:sz w:val="21"/>
                <w:szCs w:val="21"/>
              </w:rPr>
              <w:t>（2</w:t>
            </w:r>
            <w:r>
              <w:rPr>
                <w:rFonts w:hint="eastAsia" w:ascii="宋体" w:hAnsi="宋体" w:eastAsia="宋体" w:cs="宋体"/>
                <w:sz w:val="21"/>
                <w:szCs w:val="21"/>
              </w:rPr>
              <w:t>）</w:t>
            </w:r>
          </w:p>
        </w:tc>
        <w:tc>
          <w:tcPr>
            <w:tcW w:w="3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608"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学科选修课</w:t>
            </w:r>
          </w:p>
        </w:tc>
        <w:tc>
          <w:tcPr>
            <w:tcW w:w="3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0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1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研究生课程目录上选修</w:t>
            </w:r>
          </w:p>
        </w:tc>
        <w:tc>
          <w:tcPr>
            <w:tcW w:w="3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6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6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其他选修课</w:t>
            </w:r>
          </w:p>
        </w:tc>
        <w:tc>
          <w:tcPr>
            <w:tcW w:w="30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153044</w:t>
            </w:r>
          </w:p>
        </w:tc>
        <w:tc>
          <w:tcPr>
            <w:tcW w:w="10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BASM612615</w:t>
            </w:r>
          </w:p>
        </w:tc>
        <w:tc>
          <w:tcPr>
            <w:tcW w:w="11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研究生论文写作指导（15）</w:t>
            </w:r>
          </w:p>
        </w:tc>
        <w:tc>
          <w:tcPr>
            <w:tcW w:w="3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60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1学分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64"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必修环节</w:t>
            </w:r>
          </w:p>
        </w:tc>
        <w:tc>
          <w:tcPr>
            <w:tcW w:w="300"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797"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001999</w:t>
            </w:r>
          </w:p>
        </w:tc>
        <w:tc>
          <w:tcPr>
            <w:tcW w:w="1075"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BXHJ800399</w:t>
            </w:r>
          </w:p>
        </w:tc>
        <w:tc>
          <w:tcPr>
            <w:tcW w:w="11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学术活动（讲座）博</w:t>
            </w:r>
          </w:p>
        </w:tc>
        <w:tc>
          <w:tcPr>
            <w:tcW w:w="3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608"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17学分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64"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300"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797"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001987</w:t>
            </w:r>
          </w:p>
        </w:tc>
        <w:tc>
          <w:tcPr>
            <w:tcW w:w="1075"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BXHJ600699</w:t>
            </w:r>
          </w:p>
        </w:tc>
        <w:tc>
          <w:tcPr>
            <w:tcW w:w="11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社会实践</w:t>
            </w:r>
          </w:p>
        </w:tc>
        <w:tc>
          <w:tcPr>
            <w:tcW w:w="3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608"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107" w:rightChars="-51"/>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64"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300"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797"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001972</w:t>
            </w:r>
          </w:p>
        </w:tc>
        <w:tc>
          <w:tcPr>
            <w:tcW w:w="1075"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BXHJ800799</w:t>
            </w:r>
          </w:p>
        </w:tc>
        <w:tc>
          <w:tcPr>
            <w:tcW w:w="11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两助一辅</w:t>
            </w:r>
          </w:p>
        </w:tc>
        <w:tc>
          <w:tcPr>
            <w:tcW w:w="3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608"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107" w:rightChars="-51"/>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64"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300"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797"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001995</w:t>
            </w:r>
          </w:p>
        </w:tc>
        <w:tc>
          <w:tcPr>
            <w:tcW w:w="1075"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BXHJ800299</w:t>
            </w:r>
          </w:p>
        </w:tc>
        <w:tc>
          <w:tcPr>
            <w:tcW w:w="11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基金撰写</w:t>
            </w:r>
          </w:p>
        </w:tc>
        <w:tc>
          <w:tcPr>
            <w:tcW w:w="3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608"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107" w:rightChars="-51"/>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64"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300"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797"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001970</w:t>
            </w:r>
          </w:p>
        </w:tc>
        <w:tc>
          <w:tcPr>
            <w:tcW w:w="1075"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BXHJ800999</w:t>
            </w:r>
          </w:p>
        </w:tc>
        <w:tc>
          <w:tcPr>
            <w:tcW w:w="11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国际化交流</w:t>
            </w:r>
          </w:p>
        </w:tc>
        <w:tc>
          <w:tcPr>
            <w:tcW w:w="3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608"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107" w:rightChars="-51"/>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64"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300"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001986</w:t>
            </w:r>
          </w:p>
        </w:tc>
        <w:tc>
          <w:tcPr>
            <w:tcW w:w="10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BXHJ800499</w:t>
            </w:r>
          </w:p>
        </w:tc>
        <w:tc>
          <w:tcPr>
            <w:tcW w:w="11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开题报告（博）</w:t>
            </w:r>
          </w:p>
        </w:tc>
        <w:tc>
          <w:tcPr>
            <w:tcW w:w="3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608"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107" w:rightChars="-51"/>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64"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300"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001994</w:t>
            </w:r>
          </w:p>
        </w:tc>
        <w:tc>
          <w:tcPr>
            <w:tcW w:w="10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BXHJ800199</w:t>
            </w:r>
          </w:p>
        </w:tc>
        <w:tc>
          <w:tcPr>
            <w:tcW w:w="11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中期考核（博）</w:t>
            </w:r>
          </w:p>
        </w:tc>
        <w:tc>
          <w:tcPr>
            <w:tcW w:w="3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608"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107" w:rightChars="-51"/>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64"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300"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001971</w:t>
            </w:r>
          </w:p>
        </w:tc>
        <w:tc>
          <w:tcPr>
            <w:tcW w:w="107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INFT600499</w:t>
            </w:r>
          </w:p>
        </w:tc>
        <w:tc>
          <w:tcPr>
            <w:tcW w:w="11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文献阅读</w:t>
            </w:r>
          </w:p>
        </w:tc>
        <w:tc>
          <w:tcPr>
            <w:tcW w:w="3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608"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107" w:rightChars="-51"/>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64"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300"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797"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001954</w:t>
            </w:r>
          </w:p>
        </w:tc>
        <w:tc>
          <w:tcPr>
            <w:tcW w:w="1075"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BXHJ602499</w:t>
            </w:r>
          </w:p>
        </w:tc>
        <w:tc>
          <w:tcPr>
            <w:tcW w:w="11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劳动教育</w:t>
            </w:r>
          </w:p>
        </w:tc>
        <w:tc>
          <w:tcPr>
            <w:tcW w:w="3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w:t>
            </w:r>
          </w:p>
        </w:tc>
        <w:tc>
          <w:tcPr>
            <w:tcW w:w="608"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107" w:rightChars="-51"/>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64"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300"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797"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001955</w:t>
            </w:r>
          </w:p>
        </w:tc>
        <w:tc>
          <w:tcPr>
            <w:tcW w:w="1075"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BXHJ602399</w:t>
            </w:r>
          </w:p>
        </w:tc>
        <w:tc>
          <w:tcPr>
            <w:tcW w:w="11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美育</w:t>
            </w:r>
          </w:p>
        </w:tc>
        <w:tc>
          <w:tcPr>
            <w:tcW w:w="3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w:t>
            </w:r>
          </w:p>
        </w:tc>
        <w:tc>
          <w:tcPr>
            <w:tcW w:w="608"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107" w:rightChars="-51"/>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64"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300"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797"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001956</w:t>
            </w:r>
          </w:p>
        </w:tc>
        <w:tc>
          <w:tcPr>
            <w:tcW w:w="1075"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BXHJ602299</w:t>
            </w:r>
          </w:p>
        </w:tc>
        <w:tc>
          <w:tcPr>
            <w:tcW w:w="114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体育</w:t>
            </w:r>
          </w:p>
        </w:tc>
        <w:tc>
          <w:tcPr>
            <w:tcW w:w="31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w:t>
            </w:r>
          </w:p>
        </w:tc>
        <w:tc>
          <w:tcPr>
            <w:tcW w:w="608" w:type="pct"/>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right="-107" w:rightChars="-51"/>
              <w:jc w:val="center"/>
              <w:textAlignment w:val="auto"/>
              <w:rPr>
                <w:rFonts w:hint="eastAsia" w:ascii="宋体" w:hAnsi="宋体" w:eastAsia="宋体" w:cs="宋体"/>
                <w:sz w:val="21"/>
                <w:szCs w:val="21"/>
              </w:rPr>
            </w:pPr>
          </w:p>
        </w:tc>
      </w:tr>
    </w:tbl>
    <w:p>
      <w:pPr>
        <w:spacing w:before="120" w:beforeLines="50" w:after="120" w:afterLines="50" w:line="286" w:lineRule="auto"/>
        <w:rPr>
          <w:rFonts w:ascii="黑体" w:hAnsi="黑体" w:eastAsia="黑体"/>
          <w:sz w:val="24"/>
          <w:szCs w:val="24"/>
        </w:rPr>
      </w:pPr>
      <w:bookmarkStart w:id="58" w:name="_Toc519846379"/>
      <w:bookmarkStart w:id="59" w:name="_Toc520822599"/>
      <w:r>
        <w:rPr>
          <w:rFonts w:ascii="黑体" w:hAnsi="黑体" w:eastAsia="黑体"/>
          <w:sz w:val="24"/>
          <w:szCs w:val="24"/>
        </w:rPr>
        <w:t>六、</w:t>
      </w:r>
      <w:r>
        <w:rPr>
          <w:rFonts w:hint="eastAsia" w:ascii="黑体" w:hAnsi="黑体" w:eastAsia="黑体"/>
          <w:sz w:val="24"/>
          <w:szCs w:val="24"/>
        </w:rPr>
        <w:t>必修</w:t>
      </w:r>
      <w:r>
        <w:rPr>
          <w:rFonts w:ascii="黑体" w:hAnsi="黑体" w:eastAsia="黑体"/>
          <w:sz w:val="24"/>
          <w:szCs w:val="24"/>
        </w:rPr>
        <w:t>环节</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．学</w:t>
      </w:r>
      <w:r>
        <w:rPr>
          <w:rFonts w:ascii="Times New Roman" w:hAnsi="Times New Roman" w:eastAsia="宋体" w:cs="Times New Roman"/>
          <w:b/>
          <w:bCs/>
          <w:szCs w:val="21"/>
        </w:rPr>
        <w:t>术活动（讲座）</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博士研究生学术活动（讲座）分为必听讲座和选听讲座。必听讲座为</w:t>
      </w:r>
      <w:r>
        <w:rPr>
          <w:rFonts w:cs="Times New Roman" w:asciiTheme="minorEastAsia" w:hAnsiTheme="minorEastAsia"/>
          <w:szCs w:val="21"/>
        </w:rPr>
        <w:t>“科学道德与学风建设”</w:t>
      </w:r>
      <w:r>
        <w:rPr>
          <w:rFonts w:ascii="Times New Roman" w:hAnsi="Times New Roman" w:eastAsia="宋体" w:cs="Times New Roman"/>
          <w:szCs w:val="21"/>
        </w:rPr>
        <w:t>；选听讲座包括与学科紧密相关</w:t>
      </w:r>
      <w:r>
        <w:rPr>
          <w:rFonts w:cs="Times New Roman" w:asciiTheme="minorEastAsia" w:hAnsiTheme="minorEastAsia"/>
          <w:szCs w:val="21"/>
        </w:rPr>
        <w:t>的“学</w:t>
      </w:r>
      <w:r>
        <w:rPr>
          <w:rFonts w:ascii="Times New Roman" w:hAnsi="Times New Roman" w:eastAsia="宋体" w:cs="Times New Roman"/>
          <w:szCs w:val="21"/>
        </w:rPr>
        <w:t>科前沿系列专题</w:t>
      </w:r>
      <w:r>
        <w:rPr>
          <w:rFonts w:cs="Times New Roman" w:asciiTheme="minorEastAsia" w:hAnsiTheme="minorEastAsia"/>
          <w:szCs w:val="21"/>
        </w:rPr>
        <w:t>讲座”（</w:t>
      </w:r>
      <w:r>
        <w:rPr>
          <w:rFonts w:ascii="Times New Roman" w:hAnsi="Times New Roman" w:eastAsia="宋体" w:cs="Times New Roman"/>
          <w:szCs w:val="21"/>
        </w:rPr>
        <w:t>由各二级学科组织若干教授对本学科前沿知识进行讲座，每个讲座由5个以上讲座组成）一个系列和在全校范围内选听</w:t>
      </w:r>
      <w:r>
        <w:rPr>
          <w:rFonts w:cs="Times New Roman" w:asciiTheme="minorEastAsia" w:hAnsiTheme="minorEastAsia"/>
          <w:szCs w:val="21"/>
        </w:rPr>
        <w:t>“学术讲座”</w:t>
      </w:r>
      <w:r>
        <w:rPr>
          <w:rFonts w:ascii="Times New Roman" w:hAnsi="Times New Roman" w:eastAsia="宋体" w:cs="Times New Roman"/>
          <w:szCs w:val="21"/>
        </w:rPr>
        <w:t>1次，自己公开讲座1次，完成后记2学分。</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w:t>
      </w:r>
      <w:r>
        <w:rPr>
          <w:rFonts w:ascii="Times New Roman" w:hAnsi="Times New Roman" w:eastAsia="宋体" w:cs="Times New Roman"/>
          <w:b/>
          <w:bCs/>
          <w:szCs w:val="21"/>
        </w:rPr>
        <w:t>社会实践</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w:t>
      </w:r>
      <w:r>
        <w:rPr>
          <w:rFonts w:cs="Times New Roman" w:asciiTheme="minorEastAsia" w:hAnsiTheme="minorEastAsia"/>
          <w:szCs w:val="21"/>
        </w:rPr>
        <w:t>社会实践</w:t>
      </w:r>
      <w:r>
        <w:rPr>
          <w:rFonts w:hint="eastAsia" w:cs="Times New Roman" w:asciiTheme="minorEastAsia" w:hAnsiTheme="minorEastAsia"/>
          <w:szCs w:val="21"/>
        </w:rPr>
        <w:t>”</w:t>
      </w:r>
      <w:r>
        <w:rPr>
          <w:rFonts w:cs="Times New Roman" w:asciiTheme="minorEastAsia" w:hAnsiTheme="minorEastAsia"/>
          <w:szCs w:val="21"/>
        </w:rPr>
        <w:t>是指研究生在校学习期间，除完成本学科规定的业务实践外，接触社会、了解社会、服务社会的实践活动。</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可以通过组织和参与社会调查、支教、扶贫及其他志愿者服务等方式进行，提倡以小组或团队形式开展活动，累计不少于</w:t>
      </w:r>
      <w:r>
        <w:rPr>
          <w:rFonts w:ascii="Times New Roman" w:hAnsi="Times New Roman" w:cs="Times New Roman"/>
          <w:szCs w:val="21"/>
        </w:rPr>
        <w:t>10</w:t>
      </w:r>
      <w:r>
        <w:rPr>
          <w:rFonts w:cs="Times New Roman" w:asciiTheme="minorEastAsia" w:hAnsiTheme="minorEastAsia"/>
          <w:szCs w:val="21"/>
        </w:rPr>
        <w:t>个工作日。</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研</w:t>
      </w:r>
      <w:r>
        <w:rPr>
          <w:rFonts w:cs="Times New Roman" w:asciiTheme="minorEastAsia" w:hAnsiTheme="minorEastAsia"/>
          <w:spacing w:val="-2"/>
          <w:szCs w:val="21"/>
        </w:rPr>
        <w:t>究生完成</w:t>
      </w:r>
      <w:r>
        <w:rPr>
          <w:rFonts w:hint="eastAsia" w:cs="Times New Roman" w:asciiTheme="minorEastAsia" w:hAnsiTheme="minorEastAsia"/>
          <w:spacing w:val="-2"/>
          <w:szCs w:val="21"/>
        </w:rPr>
        <w:t>“</w:t>
      </w:r>
      <w:r>
        <w:rPr>
          <w:rFonts w:cs="Times New Roman" w:asciiTheme="minorEastAsia" w:hAnsiTheme="minorEastAsia"/>
          <w:spacing w:val="-2"/>
          <w:szCs w:val="21"/>
        </w:rPr>
        <w:t>社会实践</w:t>
      </w:r>
      <w:r>
        <w:rPr>
          <w:rFonts w:hint="eastAsia" w:cs="Times New Roman" w:asciiTheme="minorEastAsia" w:hAnsiTheme="minorEastAsia"/>
          <w:spacing w:val="-2"/>
          <w:szCs w:val="21"/>
        </w:rPr>
        <w:t>”</w:t>
      </w:r>
      <w:r>
        <w:rPr>
          <w:rFonts w:cs="Times New Roman" w:asciiTheme="minorEastAsia" w:hAnsiTheme="minorEastAsia"/>
          <w:spacing w:val="-2"/>
          <w:szCs w:val="21"/>
        </w:rPr>
        <w:t>活动后，需撰写不少于</w:t>
      </w:r>
      <w:r>
        <w:rPr>
          <w:rFonts w:ascii="Times New Roman" w:hAnsi="Times New Roman" w:cs="Times New Roman"/>
          <w:spacing w:val="-2"/>
          <w:szCs w:val="21"/>
        </w:rPr>
        <w:t>3000</w:t>
      </w:r>
      <w:r>
        <w:rPr>
          <w:rFonts w:cs="Times New Roman" w:asciiTheme="minorEastAsia" w:hAnsiTheme="minorEastAsia"/>
          <w:spacing w:val="-2"/>
          <w:szCs w:val="21"/>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rFonts w:ascii="Times New Roman" w:hAnsi="Times New Roman" w:cs="Times New Roman"/>
          <w:spacing w:val="-2"/>
          <w:szCs w:val="21"/>
        </w:rPr>
        <w:t>1</w:t>
      </w:r>
      <w:r>
        <w:rPr>
          <w:rFonts w:cs="Times New Roman" w:asciiTheme="minorEastAsia" w:hAnsiTheme="minorEastAsia"/>
          <w:spacing w:val="-2"/>
          <w:szCs w:val="21"/>
        </w:rPr>
        <w:t>学分。</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w:t>
      </w:r>
      <w:r>
        <w:rPr>
          <w:rFonts w:ascii="Times New Roman" w:hAnsi="Times New Roman" w:eastAsia="宋体" w:cs="Times New Roman"/>
          <w:b/>
          <w:bCs/>
          <w:szCs w:val="21"/>
        </w:rPr>
        <w:t>两助一辅</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w:t>
      </w:r>
      <w:r>
        <w:rPr>
          <w:rFonts w:cs="Times New Roman" w:asciiTheme="minorEastAsia" w:hAnsiTheme="minorEastAsia"/>
          <w:szCs w:val="21"/>
        </w:rPr>
        <w:t>两助一辅</w:t>
      </w:r>
      <w:r>
        <w:rPr>
          <w:rFonts w:hint="eastAsia" w:cs="Times New Roman" w:asciiTheme="minorEastAsia" w:hAnsiTheme="minorEastAsia"/>
          <w:szCs w:val="21"/>
        </w:rPr>
        <w:t>”</w:t>
      </w:r>
      <w:r>
        <w:rPr>
          <w:rFonts w:cs="Times New Roman" w:asciiTheme="minorEastAsia" w:hAnsiTheme="minorEastAsia"/>
          <w:szCs w:val="21"/>
        </w:rPr>
        <w:t>是指研究生担任助教、助管和辅导员工作，其目的是培养研究生的综合能力，是研究生培养过程的有机组成部分。</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全日制博士研究生在培养过程中必须完成至少一个标准岗位的助教、助管或辅导员工作。该环节纳入学分管理，通过后记</w:t>
      </w:r>
      <w:r>
        <w:rPr>
          <w:rFonts w:ascii="Times New Roman" w:hAnsi="Times New Roman" w:cs="Times New Roman"/>
          <w:szCs w:val="21"/>
        </w:rPr>
        <w:t>2</w:t>
      </w:r>
      <w:r>
        <w:rPr>
          <w:rFonts w:cs="Times New Roman" w:asciiTheme="minorEastAsia" w:hAnsiTheme="minorEastAsia"/>
          <w:szCs w:val="21"/>
        </w:rPr>
        <w:t>学分。</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4</w:t>
      </w:r>
      <w:r>
        <w:rPr>
          <w:rFonts w:hint="eastAsia" w:ascii="Times New Roman" w:hAnsi="Times New Roman" w:eastAsia="宋体" w:cs="Times New Roman"/>
          <w:b/>
          <w:bCs/>
          <w:szCs w:val="21"/>
        </w:rPr>
        <w:t>．</w:t>
      </w:r>
      <w:r>
        <w:rPr>
          <w:rFonts w:ascii="Times New Roman" w:hAnsi="Times New Roman" w:eastAsia="宋体" w:cs="Times New Roman"/>
          <w:b/>
          <w:bCs/>
          <w:szCs w:val="21"/>
        </w:rPr>
        <w:t>基金撰写</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kern w:val="0"/>
          <w:szCs w:val="21"/>
        </w:rPr>
      </w:pPr>
      <w:r>
        <w:rPr>
          <w:rFonts w:hint="eastAsia" w:cs="Times New Roman" w:asciiTheme="minorEastAsia" w:hAnsiTheme="minorEastAsia"/>
          <w:szCs w:val="21"/>
        </w:rPr>
        <w:t>博士</w:t>
      </w:r>
      <w:r>
        <w:rPr>
          <w:rFonts w:cs="Times New Roman" w:asciiTheme="minorEastAsia" w:hAnsiTheme="minorEastAsia"/>
          <w:szCs w:val="21"/>
        </w:rPr>
        <w:t>研究生在学习期间，须在导师指导下，完成一项国家科研基金申请书的撰写，培养博士生申请科研项目的能力，导师同意通过后，记</w:t>
      </w:r>
      <w:r>
        <w:rPr>
          <w:rFonts w:ascii="Times New Roman" w:hAnsi="Times New Roman" w:cs="Times New Roman"/>
          <w:szCs w:val="21"/>
        </w:rPr>
        <w:t>1</w:t>
      </w:r>
      <w:r>
        <w:rPr>
          <w:rFonts w:cs="Times New Roman" w:asciiTheme="minorEastAsia" w:hAnsiTheme="minorEastAsia"/>
          <w:szCs w:val="21"/>
        </w:rPr>
        <w:t>学分。</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5</w:t>
      </w:r>
      <w:r>
        <w:rPr>
          <w:rFonts w:hint="eastAsia" w:ascii="Times New Roman" w:hAnsi="Times New Roman" w:eastAsia="宋体" w:cs="Times New Roman"/>
          <w:b/>
          <w:bCs/>
          <w:szCs w:val="21"/>
        </w:rPr>
        <w:t>．</w:t>
      </w:r>
      <w:r>
        <w:rPr>
          <w:rFonts w:ascii="Times New Roman" w:hAnsi="Times New Roman" w:eastAsia="宋体" w:cs="Times New Roman"/>
          <w:b/>
          <w:bCs/>
          <w:szCs w:val="21"/>
        </w:rPr>
        <w:t>国际化交流</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kern w:val="0"/>
          <w:szCs w:val="21"/>
        </w:rPr>
        <w:t>立足于培养</w:t>
      </w:r>
      <w:r>
        <w:rPr>
          <w:rFonts w:hint="eastAsia" w:cs="Times New Roman" w:asciiTheme="minorEastAsia" w:hAnsiTheme="minorEastAsia"/>
          <w:kern w:val="0"/>
          <w:szCs w:val="21"/>
        </w:rPr>
        <w:t>博士</w:t>
      </w:r>
      <w:r>
        <w:rPr>
          <w:rFonts w:cs="Times New Roman" w:asciiTheme="minorEastAsia" w:hAnsiTheme="minorEastAsia"/>
          <w:kern w:val="0"/>
          <w:szCs w:val="21"/>
        </w:rPr>
        <w:t>研究生的全球化视野，</w:t>
      </w:r>
      <w:r>
        <w:rPr>
          <w:rFonts w:cs="Times New Roman" w:asciiTheme="minorEastAsia" w:hAnsiTheme="minorEastAsia"/>
          <w:szCs w:val="21"/>
        </w:rPr>
        <w:t>研究生在校期间，达到以下条件之一记1学分：</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1</w:t>
      </w:r>
      <w:r>
        <w:rPr>
          <w:rFonts w:cs="Times New Roman" w:asciiTheme="minorEastAsia" w:hAnsiTheme="minorEastAsia"/>
          <w:szCs w:val="21"/>
        </w:rPr>
        <w:t>）</w:t>
      </w:r>
      <w:r>
        <w:rPr>
          <w:rFonts w:hint="eastAsia" w:ascii="Times New Roman" w:hAnsi="Times New Roman" w:cs="Times New Roman"/>
          <w:szCs w:val="21"/>
        </w:rPr>
        <w:t>CSC</w:t>
      </w:r>
      <w:r>
        <w:rPr>
          <w:rFonts w:hint="eastAsia" w:cs="Times New Roman" w:asciiTheme="minorEastAsia" w:hAnsiTheme="minorEastAsia"/>
          <w:szCs w:val="21"/>
        </w:rPr>
        <w:t>项目；</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2</w:t>
      </w:r>
      <w:r>
        <w:rPr>
          <w:rFonts w:cs="Times New Roman" w:asciiTheme="minorEastAsia" w:hAnsiTheme="minorEastAsia"/>
          <w:szCs w:val="21"/>
        </w:rPr>
        <w:t>）</w:t>
      </w:r>
      <w:r>
        <w:rPr>
          <w:rFonts w:hint="eastAsia" w:cs="Times New Roman" w:asciiTheme="minorEastAsia" w:hAnsiTheme="minorEastAsia"/>
          <w:szCs w:val="21"/>
        </w:rPr>
        <w:t>与国（境）外</w:t>
      </w:r>
      <w:r>
        <w:rPr>
          <w:rFonts w:cs="Times New Roman" w:asciiTheme="minorEastAsia" w:hAnsiTheme="minorEastAsia"/>
          <w:szCs w:val="21"/>
        </w:rPr>
        <w:t>联合培养；</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3</w:t>
      </w:r>
      <w:r>
        <w:rPr>
          <w:rFonts w:cs="Times New Roman" w:asciiTheme="minorEastAsia" w:hAnsiTheme="minorEastAsia"/>
          <w:szCs w:val="21"/>
        </w:rPr>
        <w:t>）</w:t>
      </w:r>
      <w:r>
        <w:rPr>
          <w:rFonts w:hint="eastAsia" w:cs="Times New Roman" w:asciiTheme="minorEastAsia" w:hAnsiTheme="minorEastAsia"/>
          <w:szCs w:val="21"/>
        </w:rPr>
        <w:t>国（境）外</w:t>
      </w:r>
      <w:r>
        <w:rPr>
          <w:rFonts w:cs="Times New Roman" w:asciiTheme="minorEastAsia" w:hAnsiTheme="minorEastAsia"/>
          <w:szCs w:val="21"/>
        </w:rPr>
        <w:t>短期出</w:t>
      </w:r>
      <w:r>
        <w:rPr>
          <w:rFonts w:hint="eastAsia" w:cs="Times New Roman" w:asciiTheme="minorEastAsia" w:hAnsiTheme="minorEastAsia"/>
          <w:szCs w:val="21"/>
        </w:rPr>
        <w:t>访、国际组织实习（三个月以上）；</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4</w:t>
      </w:r>
      <w:r>
        <w:rPr>
          <w:rFonts w:cs="Times New Roman" w:asciiTheme="minorEastAsia" w:hAnsiTheme="minorEastAsia"/>
          <w:szCs w:val="21"/>
        </w:rPr>
        <w:t>）国内外举办的</w:t>
      </w:r>
      <w:r>
        <w:rPr>
          <w:rFonts w:hint="eastAsia" w:cs="Times New Roman" w:asciiTheme="minorEastAsia" w:hAnsiTheme="minorEastAsia"/>
          <w:szCs w:val="21"/>
        </w:rPr>
        <w:t>高水平</w:t>
      </w:r>
      <w:r>
        <w:rPr>
          <w:rFonts w:cs="Times New Roman" w:asciiTheme="minorEastAsia" w:hAnsiTheme="minorEastAsia"/>
          <w:szCs w:val="21"/>
        </w:rPr>
        <w:t>国际</w:t>
      </w:r>
      <w:r>
        <w:rPr>
          <w:rFonts w:hint="eastAsia" w:cs="Times New Roman" w:asciiTheme="minorEastAsia" w:hAnsiTheme="minorEastAsia"/>
          <w:szCs w:val="21"/>
        </w:rPr>
        <w:t>学术</w:t>
      </w:r>
      <w:r>
        <w:rPr>
          <w:rFonts w:cs="Times New Roman" w:asciiTheme="minorEastAsia" w:hAnsiTheme="minorEastAsia"/>
          <w:szCs w:val="21"/>
        </w:rPr>
        <w:t>会议（参加、投稿被书面收录、壁报、小组发言、大会发言，均被认可，但需提供详细的书面证明邀请信、参会照片、收录节选、壁报展示及照片、小组发言或大会发言照片等）；</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5</w:t>
      </w:r>
      <w:r>
        <w:rPr>
          <w:rFonts w:ascii="Times New Roman" w:hAnsi="Times New Roman" w:cs="Times New Roman"/>
          <w:szCs w:val="21"/>
        </w:rPr>
        <w:t>）</w:t>
      </w:r>
      <w:r>
        <w:rPr>
          <w:rFonts w:hint="eastAsia" w:cs="Times New Roman" w:asciiTheme="minorEastAsia" w:hAnsiTheme="minorEastAsia"/>
          <w:szCs w:val="21"/>
        </w:rPr>
        <w:t>选修国外高校全英文在线课程（</w:t>
      </w:r>
      <w:r>
        <w:rPr>
          <w:rFonts w:hint="eastAsia" w:ascii="Times New Roman" w:hAnsi="Times New Roman" w:cs="Times New Roman"/>
          <w:szCs w:val="21"/>
        </w:rPr>
        <w:t>MOOC</w:t>
      </w:r>
      <w:r>
        <w:rPr>
          <w:rFonts w:hint="eastAsia" w:cs="Times New Roman" w:asciiTheme="minorEastAsia" w:hAnsiTheme="minorEastAsia"/>
          <w:szCs w:val="21"/>
        </w:rPr>
        <w:t>），并取得合格证书；</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6</w:t>
      </w:r>
      <w:r>
        <w:rPr>
          <w:rFonts w:cs="Times New Roman" w:asciiTheme="minorEastAsia" w:hAnsiTheme="minorEastAsia"/>
          <w:szCs w:val="21"/>
        </w:rPr>
        <w:t>）</w:t>
      </w:r>
      <w:r>
        <w:rPr>
          <w:rFonts w:hint="eastAsia" w:cs="Times New Roman" w:asciiTheme="minorEastAsia" w:hAnsiTheme="minorEastAsia"/>
          <w:szCs w:val="21"/>
        </w:rPr>
        <w:t>参加国际专业竞赛并获奖。</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6．文献</w:t>
      </w:r>
      <w:r>
        <w:rPr>
          <w:rFonts w:ascii="Times New Roman" w:hAnsi="Times New Roman" w:eastAsia="宋体" w:cs="Times New Roman"/>
          <w:b/>
          <w:bCs/>
          <w:szCs w:val="21"/>
        </w:rPr>
        <w:t>阅读</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博士研究生</w:t>
      </w:r>
      <w:r>
        <w:rPr>
          <w:rFonts w:ascii="Times New Roman" w:hAnsi="Times New Roman" w:eastAsia="宋体" w:cs="Times New Roman"/>
          <w:szCs w:val="21"/>
        </w:rPr>
        <w:t>在第</w:t>
      </w:r>
      <w:r>
        <w:rPr>
          <w:rFonts w:hint="eastAsia" w:ascii="Times New Roman" w:hAnsi="Times New Roman" w:eastAsia="宋体" w:cs="Times New Roman"/>
          <w:szCs w:val="21"/>
        </w:rPr>
        <w:t>三</w:t>
      </w:r>
      <w:r>
        <w:rPr>
          <w:rFonts w:ascii="Times New Roman" w:hAnsi="Times New Roman" w:eastAsia="宋体" w:cs="Times New Roman"/>
          <w:szCs w:val="21"/>
        </w:rPr>
        <w:t>学</w:t>
      </w:r>
      <w:r>
        <w:rPr>
          <w:rFonts w:hint="eastAsia" w:ascii="Times New Roman" w:hAnsi="Times New Roman" w:eastAsia="宋体" w:cs="Times New Roman"/>
          <w:szCs w:val="21"/>
        </w:rPr>
        <w:t>期</w:t>
      </w:r>
      <w:r>
        <w:rPr>
          <w:rFonts w:ascii="Times New Roman" w:hAnsi="Times New Roman" w:eastAsia="宋体" w:cs="Times New Roman"/>
          <w:szCs w:val="21"/>
        </w:rPr>
        <w:t>完成</w:t>
      </w:r>
      <w:r>
        <w:rPr>
          <w:rFonts w:hint="eastAsia" w:ascii="Times New Roman" w:hAnsi="Times New Roman" w:eastAsia="宋体" w:cs="Times New Roman"/>
          <w:szCs w:val="21"/>
        </w:rPr>
        <w:t>文献阅读</w:t>
      </w:r>
      <w:r>
        <w:rPr>
          <w:rFonts w:ascii="Times New Roman" w:hAnsi="Times New Roman" w:eastAsia="宋体" w:cs="Times New Roman"/>
          <w:szCs w:val="21"/>
        </w:rPr>
        <w:t>考核</w:t>
      </w:r>
      <w:r>
        <w:rPr>
          <w:rFonts w:hint="eastAsia" w:ascii="Times New Roman" w:hAnsi="Times New Roman" w:eastAsia="宋体" w:cs="Times New Roman"/>
          <w:szCs w:val="21"/>
        </w:rPr>
        <w:t>。</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文献阅读是引领研究生特别是博士生夯实学术根基、迅速进入学科专业研究领域和培养研究生科研素养的重要手段，是课程知识扩展和补充的重要方式。学生入学后</w:t>
      </w:r>
      <w:r>
        <w:rPr>
          <w:rFonts w:ascii="Times New Roman" w:hAnsi="Times New Roman" w:eastAsia="宋体" w:cs="Times New Roman"/>
          <w:szCs w:val="21"/>
        </w:rPr>
        <w:t>结合学科发展和论文研究方向，在导师指导下阅读国内外文献资料。</w:t>
      </w:r>
      <w:r>
        <w:rPr>
          <w:rFonts w:hint="eastAsia" w:ascii="Times New Roman" w:hAnsi="Times New Roman" w:eastAsia="宋体" w:cs="Times New Roman"/>
          <w:szCs w:val="21"/>
        </w:rPr>
        <w:t>考核形式采用提交文献综述形式（要求字数不少于</w:t>
      </w:r>
      <w:r>
        <w:rPr>
          <w:rFonts w:ascii="Times New Roman" w:hAnsi="Times New Roman" w:eastAsia="宋体" w:cs="Times New Roman"/>
          <w:szCs w:val="21"/>
        </w:rPr>
        <w:t>5000</w:t>
      </w:r>
      <w:r>
        <w:rPr>
          <w:rFonts w:hint="eastAsia" w:ascii="Times New Roman" w:hAnsi="Times New Roman" w:eastAsia="宋体" w:cs="Times New Roman"/>
          <w:szCs w:val="21"/>
        </w:rPr>
        <w:t>字，参考文献应包含中文文献和外文文献，综述文献不少于</w:t>
      </w:r>
      <w:r>
        <w:rPr>
          <w:rFonts w:ascii="Times New Roman" w:hAnsi="Times New Roman" w:eastAsia="宋体" w:cs="Times New Roman"/>
          <w:szCs w:val="21"/>
        </w:rPr>
        <w:t>60</w:t>
      </w:r>
      <w:r>
        <w:rPr>
          <w:rFonts w:hint="eastAsia" w:ascii="Times New Roman" w:hAnsi="Times New Roman" w:eastAsia="宋体" w:cs="Times New Roman"/>
          <w:szCs w:val="21"/>
        </w:rPr>
        <w:t>篇），导师签字确认后提交，学院组织评审专家对综述报告的选题、格式、内容以及书面表达能力等进行评审，审核通过者，记</w:t>
      </w:r>
      <w:r>
        <w:rPr>
          <w:rFonts w:ascii="Times New Roman" w:hAnsi="Times New Roman" w:eastAsia="宋体" w:cs="Times New Roman"/>
          <w:szCs w:val="21"/>
        </w:rPr>
        <w:t>2</w:t>
      </w:r>
      <w:r>
        <w:rPr>
          <w:rFonts w:hint="eastAsia" w:ascii="Times New Roman" w:hAnsi="Times New Roman" w:eastAsia="宋体" w:cs="Times New Roman"/>
          <w:szCs w:val="21"/>
        </w:rPr>
        <w:t>学分。审核未通过者，按照专家审核意见完成修改后提交学院进行二次评审。经两次审核都未通过者，不记入学分。考核工作由医学部各学院统一安排。</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文献阅读考核需在博士生中期考核前完成考核。</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7</w:t>
      </w:r>
      <w:r>
        <w:rPr>
          <w:rFonts w:hint="eastAsia" w:ascii="Times New Roman" w:hAnsi="Times New Roman" w:eastAsia="宋体" w:cs="Times New Roman"/>
          <w:b/>
          <w:bCs/>
          <w:szCs w:val="21"/>
        </w:rPr>
        <w:t>．</w:t>
      </w:r>
      <w:r>
        <w:rPr>
          <w:rFonts w:ascii="Times New Roman" w:hAnsi="Times New Roman" w:eastAsia="宋体" w:cs="Times New Roman"/>
          <w:b/>
          <w:bCs/>
          <w:szCs w:val="21"/>
        </w:rPr>
        <w:t>开题报告</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开题报告一般应在第三学期前完成，具体时间由导师或院系决定，并上报学院（系）教学管理部门备案。从开题报告通过至申请论文答辩的时间一般不少于一年。开题报告由医学部各学院（系）组织，应以学术活动的形式在学院（系）内公开进行，并邀请相关教师和研究生参加。各学院（系）邀请本学院督导列席旁听并打分。开题报告评审专家小组由3-5名校内外博士生导师组成（导师及导师团队成员为主体）。考查内容包括：文献综述、选题意义与科学依据、研究基础、研究内容与计划、工作难点及特色、预期成果以及可能产生的创新点、论文选题与学科的匹配度等。经评审通过的开题报告，须以书面形式交医学部人才培养处审核备案。</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8</w:t>
      </w:r>
      <w:r>
        <w:rPr>
          <w:rFonts w:hint="eastAsia" w:ascii="Times New Roman" w:hAnsi="Times New Roman" w:eastAsia="宋体" w:cs="Times New Roman"/>
          <w:b/>
          <w:bCs/>
          <w:szCs w:val="21"/>
        </w:rPr>
        <w:t>．</w:t>
      </w:r>
      <w:r>
        <w:rPr>
          <w:rFonts w:ascii="Times New Roman" w:hAnsi="Times New Roman" w:eastAsia="宋体" w:cs="Times New Roman"/>
          <w:b/>
          <w:bCs/>
          <w:szCs w:val="21"/>
        </w:rPr>
        <w:t>中期考核</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中期考核一般安排在第四学期（贯通培养研究生转为博士生培养后可在第三学期，以直攻博方式进入贯通式培养体系的学生，自第三学年起至第四学年末完成中期考核）进行。中期考核由院系组织，应以学术活动的形式公开进行，考核小组由5-7名本学科或相关学科博士生导师组成。中期考核内容包括：学科基础综合考试（含学科基础文献集阅读）、业务表现与论文工作进展、论文选题与学科的匹配度、综合能力等方面。研究生提交由导师签字的课程成绩、课题研究进展报告等书面材料后，方可参加中期考核。中期考核所有评审材料，须在医学部人才培养处审核备案。</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博士研究生应按时参加中期考核，如有特殊情况需延期参加，须本人申请并获得批准后参加补考核，具体时间由医学部人才培养处确定。</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中期考核具体要求参照《西安交通大学关于博士研究生中期考核的若干规定》（西交研〔2014〕25号）执行。</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研究生的开题报告和中期报告中应包含实验安全风险评估的内容。</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9</w:t>
      </w:r>
      <w:r>
        <w:rPr>
          <w:rFonts w:hint="eastAsia" w:ascii="Times New Roman" w:hAnsi="Times New Roman" w:eastAsia="宋体" w:cs="Times New Roman"/>
          <w:b/>
          <w:bCs/>
          <w:szCs w:val="21"/>
        </w:rPr>
        <w:t>．</w:t>
      </w:r>
      <w:r>
        <w:rPr>
          <w:rFonts w:ascii="Times New Roman" w:hAnsi="Times New Roman" w:eastAsia="宋体" w:cs="Times New Roman"/>
          <w:b/>
          <w:bCs/>
          <w:szCs w:val="21"/>
        </w:rPr>
        <w:t>最终学术报告（预答辩）</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博士研究生完成学位论文后，须在医学部或医学部各院（系）范围内进行公开预答辩，报告自己的研究成果。预答辩专家组由5名本学科或相关学科专家组成，其中至少3人为博士生导师。各学院（系）邀请本学院督导或相关学科专家列席旁听。在预答辩中，须严格审查论文选题的前沿性、理论及现实意义，学位论文是否有独立见解，学位论文的工作量，研究工作的系统性、完整性，论文选题与学科的匹配度等。</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对预答辩中提出的问题，博士研究生应认真修改与补充，填写修改说明表，经导师签字同意并报预答辩专家组组长签字同意后，方可进入论文评阅、答辩环节。对于未获得通过的学位论文，博士研究生应修改后重新进行预答辩。</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对于未获得通过和</w:t>
      </w:r>
      <w:r>
        <w:rPr>
          <w:rFonts w:cs="Times New Roman" w:asciiTheme="minorEastAsia" w:hAnsiTheme="minorEastAsia"/>
          <w:szCs w:val="21"/>
        </w:rPr>
        <w:t>问题较多的学位论文要经过研究生修改后重新组织预答辩。</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预答辩具体参照《西安交通大学学位授予工作暂行办法》（西交研〔2003〕14号）执行。</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b/>
          <w:bCs w:val="0"/>
          <w:szCs w:val="21"/>
        </w:rPr>
      </w:pPr>
      <w:r>
        <w:rPr>
          <w:rFonts w:ascii="Times New Roman" w:hAnsi="Times New Roman" w:eastAsia="宋体"/>
          <w:b/>
          <w:bCs w:val="0"/>
          <w:szCs w:val="21"/>
        </w:rPr>
        <w:t>10.体育、美育、劳动教育</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eastAsia="宋体"/>
          <w:bCs/>
          <w:szCs w:val="21"/>
        </w:rPr>
      </w:pPr>
      <w:r>
        <w:rPr>
          <w:rFonts w:hint="eastAsia" w:ascii="Times New Roman" w:hAnsi="Times New Roman" w:eastAsia="宋体"/>
          <w:bCs/>
          <w:szCs w:val="21"/>
        </w:rPr>
        <w:t>研究生依据当年的体育、美育、劳动教育研修指南，结合个人兴趣爱好和培养计划安排，制定个人体育、美育、劳动教育环节研修计划并开展研修，由体育、美育、劳动教育牵头单位对环节是否“通过”给予认定。</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11</w:t>
      </w:r>
      <w:r>
        <w:rPr>
          <w:rFonts w:hint="eastAsia" w:ascii="Times New Roman" w:hAnsi="Times New Roman" w:eastAsia="宋体" w:cs="Times New Roman"/>
          <w:b/>
          <w:bCs/>
          <w:szCs w:val="21"/>
        </w:rPr>
        <w:t>．</w:t>
      </w:r>
      <w:r>
        <w:rPr>
          <w:rFonts w:ascii="Times New Roman" w:hAnsi="Times New Roman" w:eastAsia="宋体" w:cs="Times New Roman"/>
          <w:b/>
          <w:bCs/>
          <w:szCs w:val="21"/>
        </w:rPr>
        <w:t>学术论文</w:t>
      </w:r>
    </w:p>
    <w:bookmarkEnd w:id="58"/>
    <w:bookmarkEnd w:id="59"/>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博士生应在导师的指导下，根据研究方向确定研究课题，课题需结合国民经济发展需求和学科发展趋势，具有前瞻性和理论价值，达到本学科前沿，博士研究生应独立完成具有一定学术水平和价值的学位论文。论文答辩</w:t>
      </w:r>
      <w:r>
        <w:rPr>
          <w:rFonts w:hint="eastAsia" w:cs="Times New Roman" w:asciiTheme="minorEastAsia" w:hAnsiTheme="minorEastAsia"/>
          <w:szCs w:val="21"/>
        </w:rPr>
        <w:t>具体参照</w:t>
      </w:r>
      <w:r>
        <w:rPr>
          <w:rFonts w:cs="Times New Roman" w:asciiTheme="minorEastAsia" w:hAnsiTheme="minorEastAsia"/>
          <w:szCs w:val="21"/>
        </w:rPr>
        <w:t>《西安交通大学学位授予工作暂行办法》（西交研〔2003〕14号）执行。</w:t>
      </w:r>
    </w:p>
    <w:p>
      <w:pPr>
        <w:spacing w:before="360" w:after="360" w:line="286" w:lineRule="auto"/>
        <w:jc w:val="center"/>
        <w:rPr>
          <w:rFonts w:ascii="楷体_GB2312" w:hAnsi="Times New Roman" w:eastAsia="楷体_GB2312" w:cs="Times New Roman"/>
          <w:b/>
          <w:bCs/>
          <w:sz w:val="28"/>
          <w:szCs w:val="28"/>
        </w:rPr>
      </w:pPr>
      <w:r>
        <w:rPr>
          <w:rFonts w:hint="eastAsia" w:ascii="楷体_GB2312" w:hAnsi="Times New Roman" w:eastAsia="楷体_GB2312" w:cs="Times New Roman"/>
          <w:b/>
          <w:bCs/>
          <w:sz w:val="28"/>
          <w:szCs w:val="28"/>
        </w:rPr>
        <w:t>★</w:t>
      </w:r>
      <w:r>
        <w:rPr>
          <w:rFonts w:ascii="楷体_GB2312" w:hAnsi="Times New Roman" w:eastAsia="楷体_GB2312" w:cs="Times New Roman"/>
          <w:b/>
          <w:bCs/>
          <w:sz w:val="28"/>
          <w:szCs w:val="28"/>
        </w:rPr>
        <w:t>基础医学（1001）攻读博士学位（学术型）研究生培养方案</w:t>
      </w:r>
    </w:p>
    <w:p>
      <w:pPr>
        <w:spacing w:before="120" w:beforeLines="50" w:after="120" w:afterLines="50" w:line="286" w:lineRule="auto"/>
        <w:rPr>
          <w:rFonts w:ascii="黑体" w:hAnsi="黑体" w:eastAsia="黑体"/>
          <w:sz w:val="24"/>
          <w:szCs w:val="24"/>
        </w:rPr>
      </w:pPr>
      <w:bookmarkStart w:id="60" w:name="_Toc422409363"/>
      <w:bookmarkStart w:id="61" w:name="_Toc534577256"/>
      <w:bookmarkStart w:id="62" w:name="_Toc392837590"/>
      <w:bookmarkStart w:id="63" w:name="_Toc392579511"/>
      <w:bookmarkStart w:id="64" w:name="_Toc520822603"/>
      <w:bookmarkStart w:id="65" w:name="_Toc392774715"/>
      <w:bookmarkStart w:id="66" w:name="_Toc392086432"/>
      <w:bookmarkStart w:id="67" w:name="_Toc534657587"/>
      <w:bookmarkStart w:id="68" w:name="_Toc423012016"/>
      <w:bookmarkStart w:id="69" w:name="_Toc392596071"/>
      <w:bookmarkStart w:id="70" w:name="_Toc519846383"/>
      <w:bookmarkStart w:id="71" w:name="_Toc393211219"/>
      <w:bookmarkStart w:id="72" w:name="_Toc487802498"/>
      <w:bookmarkStart w:id="73" w:name="_Toc392664190"/>
      <w:bookmarkStart w:id="74" w:name="_Toc393120834"/>
      <w:bookmarkStart w:id="75" w:name="_Toc422988815"/>
      <w:bookmarkStart w:id="76" w:name="_Toc422842491"/>
      <w:bookmarkStart w:id="77" w:name="_Toc393276241"/>
      <w:r>
        <w:rPr>
          <w:rFonts w:ascii="黑体" w:hAnsi="黑体" w:eastAsia="黑体"/>
          <w:sz w:val="24"/>
          <w:szCs w:val="24"/>
        </w:rPr>
        <w:t>一、培养目标</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eastAsia="宋体" w:cs="Times New Roman"/>
          <w:szCs w:val="21"/>
        </w:rPr>
      </w:pPr>
      <w:bookmarkStart w:id="78" w:name="_Toc392086433"/>
      <w:bookmarkStart w:id="79" w:name="_Toc392596072"/>
      <w:bookmarkStart w:id="80" w:name="_Toc393211220"/>
      <w:bookmarkStart w:id="81" w:name="_Toc393120835"/>
      <w:bookmarkStart w:id="82" w:name="_Toc393276242"/>
      <w:bookmarkStart w:id="83" w:name="_Toc487802499"/>
      <w:bookmarkStart w:id="84" w:name="_Toc392774716"/>
      <w:bookmarkStart w:id="85" w:name="_Toc534657588"/>
      <w:bookmarkStart w:id="86" w:name="_Toc520822604"/>
      <w:bookmarkStart w:id="87" w:name="_Toc392837591"/>
      <w:bookmarkStart w:id="88" w:name="_Toc423012017"/>
      <w:bookmarkStart w:id="89" w:name="_Toc422409364"/>
      <w:bookmarkStart w:id="90" w:name="_Toc519846384"/>
      <w:bookmarkStart w:id="91" w:name="_Toc422988816"/>
      <w:bookmarkStart w:id="92" w:name="_Toc392664191"/>
      <w:bookmarkStart w:id="93" w:name="_Toc392579512"/>
      <w:bookmarkStart w:id="94" w:name="_Toc534577257"/>
      <w:bookmarkStart w:id="95" w:name="_Toc422842492"/>
      <w:r>
        <w:rPr>
          <w:rFonts w:ascii="Times New Roman" w:hAnsi="Times New Roman" w:eastAsia="宋体" w:cs="Times New Roman"/>
          <w:szCs w:val="21"/>
        </w:rPr>
        <w:t>秉承“扎根西部、服务国家、区域引领、世界一流”的办学定位，</w:t>
      </w:r>
      <w:r>
        <w:rPr>
          <w:rFonts w:hint="eastAsia" w:ascii="Times New Roman" w:hAnsi="Times New Roman" w:eastAsia="宋体" w:cs="Times New Roman"/>
          <w:szCs w:val="21"/>
        </w:rPr>
        <w:t>基础医学</w:t>
      </w:r>
      <w:r>
        <w:rPr>
          <w:rFonts w:ascii="Times New Roman" w:hAnsi="Times New Roman" w:eastAsia="宋体" w:cs="Times New Roman"/>
          <w:szCs w:val="21"/>
        </w:rPr>
        <w:t>博士生培养目标为：以科研创新能力培养为主，坚持德智体美</w:t>
      </w:r>
      <w:r>
        <w:rPr>
          <w:rFonts w:hint="eastAsia" w:ascii="Times New Roman" w:hAnsi="Times New Roman" w:eastAsia="宋体" w:cs="Times New Roman"/>
          <w:szCs w:val="21"/>
        </w:rPr>
        <w:t>劳</w:t>
      </w:r>
      <w:r>
        <w:rPr>
          <w:rFonts w:ascii="Times New Roman" w:hAnsi="Times New Roman" w:eastAsia="宋体" w:cs="Times New Roman"/>
          <w:szCs w:val="21"/>
        </w:rPr>
        <w:t>全面发展，培养造就具有</w:t>
      </w:r>
      <w:r>
        <w:rPr>
          <w:rFonts w:hint="eastAsia" w:ascii="Times New Roman" w:hAnsi="Times New Roman" w:eastAsia="宋体" w:cs="Times New Roman"/>
          <w:szCs w:val="21"/>
        </w:rPr>
        <w:t>强烈</w:t>
      </w:r>
      <w:r>
        <w:rPr>
          <w:rFonts w:ascii="Times New Roman" w:hAnsi="Times New Roman" w:eastAsia="宋体" w:cs="Times New Roman"/>
          <w:szCs w:val="21"/>
        </w:rPr>
        <w:t>社会责任感</w:t>
      </w:r>
      <w:r>
        <w:rPr>
          <w:rFonts w:hint="eastAsia" w:ascii="Times New Roman" w:hAnsi="Times New Roman" w:eastAsia="宋体" w:cs="Times New Roman"/>
          <w:szCs w:val="21"/>
        </w:rPr>
        <w:t>的基础</w:t>
      </w:r>
      <w:r>
        <w:rPr>
          <w:rFonts w:ascii="Times New Roman" w:hAnsi="Times New Roman" w:eastAsia="宋体" w:cs="Times New Roman"/>
          <w:szCs w:val="21"/>
        </w:rPr>
        <w:t>医学研究领域德才兼备的高层次创新型人才。具体要求是：</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 xml:space="preserve">1. </w:t>
      </w:r>
      <w:r>
        <w:rPr>
          <w:rFonts w:hint="eastAsia" w:ascii="Times New Roman" w:hAnsi="Times New Roman" w:eastAsia="宋体" w:cs="Times New Roman"/>
          <w:szCs w:val="21"/>
        </w:rPr>
        <w:t>掌握马克思主义基本原理，学习和贯彻习近平新时代中国特色社会主义思想和系列重要讲话精神，坚定道路自信、理论自信、制度自信、文化自信。热爱祖国，</w:t>
      </w:r>
      <w:r>
        <w:rPr>
          <w:rFonts w:ascii="Times New Roman" w:hAnsi="Times New Roman" w:eastAsia="宋体" w:cs="Times New Roman"/>
          <w:szCs w:val="21"/>
        </w:rPr>
        <w:t>遵纪守法</w:t>
      </w:r>
      <w:r>
        <w:rPr>
          <w:rFonts w:hint="eastAsia" w:ascii="Times New Roman" w:hAnsi="Times New Roman" w:eastAsia="宋体" w:cs="Times New Roman"/>
          <w:szCs w:val="21"/>
        </w:rPr>
        <w:t>，</w:t>
      </w:r>
      <w:r>
        <w:rPr>
          <w:rFonts w:ascii="Times New Roman" w:hAnsi="Times New Roman" w:eastAsia="宋体" w:cs="Times New Roman"/>
          <w:szCs w:val="21"/>
        </w:rPr>
        <w:t>品德</w:t>
      </w:r>
      <w:r>
        <w:rPr>
          <w:rFonts w:hint="eastAsia" w:ascii="Times New Roman" w:hAnsi="Times New Roman" w:eastAsia="宋体" w:cs="Times New Roman"/>
          <w:szCs w:val="21"/>
        </w:rPr>
        <w:t>优</w:t>
      </w:r>
      <w:r>
        <w:rPr>
          <w:rFonts w:ascii="Times New Roman" w:hAnsi="Times New Roman" w:eastAsia="宋体" w:cs="Times New Roman"/>
          <w:szCs w:val="21"/>
        </w:rPr>
        <w:t>良，治学严谨，</w:t>
      </w:r>
      <w:r>
        <w:rPr>
          <w:rFonts w:hint="eastAsia" w:ascii="Times New Roman" w:hAnsi="Times New Roman" w:eastAsia="宋体" w:cs="Times New Roman"/>
          <w:szCs w:val="21"/>
        </w:rPr>
        <w:t>学风端正，</w:t>
      </w:r>
      <w:r>
        <w:rPr>
          <w:rFonts w:ascii="Times New Roman" w:hAnsi="Times New Roman" w:eastAsia="宋体" w:cs="Times New Roman"/>
          <w:szCs w:val="21"/>
        </w:rPr>
        <w:t>有献身于</w:t>
      </w:r>
      <w:r>
        <w:rPr>
          <w:rFonts w:hint="eastAsia" w:ascii="Times New Roman" w:hAnsi="Times New Roman" w:eastAsia="宋体" w:cs="Times New Roman"/>
          <w:szCs w:val="21"/>
        </w:rPr>
        <w:t>基础医学</w:t>
      </w:r>
      <w:r>
        <w:rPr>
          <w:rFonts w:ascii="Times New Roman" w:hAnsi="Times New Roman" w:eastAsia="宋体" w:cs="Times New Roman"/>
          <w:szCs w:val="21"/>
        </w:rPr>
        <w:t>科学研究的强烈事业心和创新精神</w:t>
      </w:r>
      <w:r>
        <w:rPr>
          <w:rFonts w:hint="eastAsia" w:ascii="Times New Roman" w:hAnsi="Times New Roman" w:eastAsia="宋体" w:cs="Times New Roman"/>
          <w:szCs w:val="21"/>
        </w:rPr>
        <w:t>。</w:t>
      </w:r>
      <w:r>
        <w:rPr>
          <w:rFonts w:ascii="Times New Roman" w:hAnsi="Times New Roman" w:eastAsia="宋体" w:cs="Times New Roman"/>
          <w:szCs w:val="21"/>
        </w:rPr>
        <w:t>具有健康的体魄和良好的心理素质</w:t>
      </w:r>
      <w:r>
        <w:rPr>
          <w:rFonts w:hint="eastAsia" w:ascii="Times New Roman" w:hAnsi="Times New Roman" w:eastAsia="宋体" w:cs="Times New Roman"/>
          <w:szCs w:val="21"/>
        </w:rPr>
        <w:t>，愿积极为祖国医学事业发展贡献自己的才智</w:t>
      </w:r>
      <w:r>
        <w:rPr>
          <w:rFonts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2. 具</w:t>
      </w:r>
      <w:r>
        <w:rPr>
          <w:rFonts w:hint="eastAsia" w:ascii="Times New Roman" w:hAnsi="Times New Roman" w:eastAsia="宋体" w:cs="Times New Roman"/>
          <w:szCs w:val="21"/>
        </w:rPr>
        <w:t>备</w:t>
      </w:r>
      <w:r>
        <w:rPr>
          <w:rFonts w:ascii="Times New Roman" w:hAnsi="Times New Roman" w:eastAsia="宋体" w:cs="Times New Roman"/>
          <w:szCs w:val="21"/>
        </w:rPr>
        <w:t>扎实的基础理论，掌握</w:t>
      </w:r>
      <w:r>
        <w:rPr>
          <w:rFonts w:hint="eastAsia" w:ascii="Times New Roman" w:hAnsi="Times New Roman" w:eastAsia="宋体" w:cs="Times New Roman"/>
          <w:szCs w:val="21"/>
        </w:rPr>
        <w:t>本学科的</w:t>
      </w:r>
      <w:r>
        <w:rPr>
          <w:rFonts w:ascii="Times New Roman" w:hAnsi="Times New Roman" w:eastAsia="宋体" w:cs="Times New Roman"/>
          <w:szCs w:val="21"/>
        </w:rPr>
        <w:t>专业</w:t>
      </w:r>
      <w:r>
        <w:rPr>
          <w:rFonts w:hint="eastAsia" w:ascii="Times New Roman" w:hAnsi="Times New Roman" w:eastAsia="宋体" w:cs="Times New Roman"/>
          <w:szCs w:val="21"/>
        </w:rPr>
        <w:t>基本</w:t>
      </w:r>
      <w:r>
        <w:rPr>
          <w:rFonts w:ascii="Times New Roman" w:hAnsi="Times New Roman" w:eastAsia="宋体" w:cs="Times New Roman"/>
          <w:szCs w:val="21"/>
        </w:rPr>
        <w:t>知识和</w:t>
      </w:r>
      <w:r>
        <w:rPr>
          <w:rFonts w:hint="eastAsia" w:ascii="Times New Roman" w:hAnsi="Times New Roman" w:eastAsia="宋体" w:cs="Times New Roman"/>
          <w:szCs w:val="21"/>
        </w:rPr>
        <w:t>基本技能。</w:t>
      </w:r>
      <w:r>
        <w:rPr>
          <w:rFonts w:ascii="Times New Roman" w:hAnsi="Times New Roman" w:eastAsia="宋体" w:cs="Times New Roman"/>
          <w:szCs w:val="21"/>
        </w:rPr>
        <w:t>能熟练应用各种</w:t>
      </w:r>
      <w:r>
        <w:rPr>
          <w:rFonts w:hint="eastAsia" w:ascii="Times New Roman" w:hAnsi="Times New Roman" w:eastAsia="宋体" w:cs="Times New Roman"/>
          <w:szCs w:val="21"/>
        </w:rPr>
        <w:t>医学</w:t>
      </w:r>
      <w:r>
        <w:rPr>
          <w:rFonts w:ascii="Times New Roman" w:hAnsi="Times New Roman" w:eastAsia="宋体" w:cs="Times New Roman"/>
          <w:szCs w:val="21"/>
        </w:rPr>
        <w:t>数据库</w:t>
      </w:r>
      <w:r>
        <w:rPr>
          <w:rFonts w:hint="eastAsia" w:ascii="Times New Roman" w:hAnsi="Times New Roman" w:eastAsia="宋体" w:cs="Times New Roman"/>
          <w:szCs w:val="21"/>
        </w:rPr>
        <w:t>，掌握</w:t>
      </w:r>
      <w:r>
        <w:rPr>
          <w:rFonts w:ascii="Times New Roman" w:hAnsi="Times New Roman" w:eastAsia="宋体" w:cs="Times New Roman"/>
          <w:szCs w:val="21"/>
        </w:rPr>
        <w:t>文献检索</w:t>
      </w:r>
      <w:r>
        <w:rPr>
          <w:rFonts w:hint="eastAsia" w:ascii="Times New Roman" w:hAnsi="Times New Roman" w:eastAsia="宋体" w:cs="Times New Roman"/>
          <w:szCs w:val="21"/>
        </w:rPr>
        <w:t>和管理。</w:t>
      </w:r>
      <w:r>
        <w:rPr>
          <w:rFonts w:ascii="Times New Roman" w:hAnsi="Times New Roman" w:eastAsia="宋体" w:cs="Times New Roman"/>
          <w:szCs w:val="21"/>
        </w:rPr>
        <w:t>能熟练地阅读本专业的外文资料，具有一定的</w:t>
      </w:r>
      <w:r>
        <w:rPr>
          <w:rFonts w:hint="eastAsia" w:ascii="Times New Roman" w:hAnsi="Times New Roman" w:eastAsia="宋体" w:cs="Times New Roman"/>
          <w:szCs w:val="21"/>
        </w:rPr>
        <w:t>外</w:t>
      </w:r>
      <w:r>
        <w:rPr>
          <w:rFonts w:ascii="Times New Roman" w:hAnsi="Times New Roman" w:eastAsia="宋体" w:cs="Times New Roman"/>
          <w:szCs w:val="21"/>
        </w:rPr>
        <w:t>文写作和口语交际能力</w:t>
      </w:r>
      <w:r>
        <w:rPr>
          <w:rFonts w:hint="eastAsia" w:ascii="Times New Roman" w:hAnsi="Times New Roman" w:eastAsia="宋体" w:cs="Times New Roman"/>
          <w:szCs w:val="21"/>
        </w:rPr>
        <w:t>。</w:t>
      </w:r>
      <w:r>
        <w:rPr>
          <w:rFonts w:ascii="Times New Roman" w:hAnsi="Times New Roman" w:eastAsia="宋体" w:cs="Times New Roman"/>
          <w:szCs w:val="21"/>
        </w:rPr>
        <w:t>具有一定</w:t>
      </w:r>
      <w:r>
        <w:rPr>
          <w:rFonts w:hint="eastAsia" w:ascii="Times New Roman" w:hAnsi="Times New Roman" w:eastAsia="宋体" w:cs="Times New Roman"/>
          <w:szCs w:val="21"/>
        </w:rPr>
        <w:t>的人文社会科学</w:t>
      </w:r>
      <w:r>
        <w:rPr>
          <w:rFonts w:ascii="Times New Roman" w:hAnsi="Times New Roman" w:eastAsia="宋体" w:cs="Times New Roman"/>
          <w:szCs w:val="21"/>
        </w:rPr>
        <w:t>基本知识。</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3. 具</w:t>
      </w:r>
      <w:r>
        <w:rPr>
          <w:rFonts w:hint="eastAsia" w:ascii="Times New Roman" w:hAnsi="Times New Roman" w:eastAsia="宋体" w:cs="Times New Roman"/>
          <w:szCs w:val="21"/>
        </w:rPr>
        <w:t>备</w:t>
      </w:r>
      <w:r>
        <w:rPr>
          <w:rFonts w:ascii="Times New Roman" w:hAnsi="Times New Roman" w:eastAsia="宋体" w:cs="Times New Roman"/>
          <w:szCs w:val="21"/>
        </w:rPr>
        <w:t>主动获取知识的意识</w:t>
      </w:r>
      <w:r>
        <w:rPr>
          <w:rFonts w:hint="eastAsia" w:ascii="Times New Roman" w:hAnsi="Times New Roman" w:eastAsia="宋体" w:cs="Times New Roman"/>
          <w:szCs w:val="21"/>
        </w:rPr>
        <w:t>和能力</w:t>
      </w:r>
      <w:r>
        <w:rPr>
          <w:rFonts w:ascii="Times New Roman" w:hAnsi="Times New Roman" w:eastAsia="宋体" w:cs="Times New Roman"/>
          <w:szCs w:val="21"/>
        </w:rPr>
        <w:t>，</w:t>
      </w:r>
      <w:r>
        <w:rPr>
          <w:rFonts w:hint="eastAsia" w:ascii="Times New Roman" w:hAnsi="Times New Roman" w:eastAsia="宋体" w:cs="Times New Roman"/>
          <w:szCs w:val="21"/>
        </w:rPr>
        <w:t>能</w:t>
      </w:r>
      <w:r>
        <w:rPr>
          <w:rFonts w:ascii="Times New Roman" w:hAnsi="Times New Roman" w:eastAsia="宋体" w:cs="Times New Roman"/>
          <w:szCs w:val="21"/>
        </w:rPr>
        <w:t>综合运用</w:t>
      </w:r>
      <w:r>
        <w:rPr>
          <w:rFonts w:hint="eastAsia" w:ascii="Times New Roman" w:hAnsi="Times New Roman" w:eastAsia="宋体" w:cs="Times New Roman"/>
          <w:szCs w:val="21"/>
        </w:rPr>
        <w:t>基础医学</w:t>
      </w:r>
      <w:r>
        <w:rPr>
          <w:rFonts w:ascii="Times New Roman" w:hAnsi="Times New Roman" w:eastAsia="宋体" w:cs="Times New Roman"/>
          <w:szCs w:val="21"/>
        </w:rPr>
        <w:t>理论知识和研究</w:t>
      </w:r>
      <w:r>
        <w:rPr>
          <w:rFonts w:hint="eastAsia" w:ascii="Times New Roman" w:hAnsi="Times New Roman" w:eastAsia="宋体" w:cs="Times New Roman"/>
          <w:szCs w:val="21"/>
        </w:rPr>
        <w:t>手段</w:t>
      </w:r>
      <w:r>
        <w:rPr>
          <w:rFonts w:ascii="Times New Roman" w:hAnsi="Times New Roman" w:eastAsia="宋体" w:cs="Times New Roman"/>
          <w:szCs w:val="21"/>
        </w:rPr>
        <w:t>，开展科学研究</w:t>
      </w:r>
      <w:r>
        <w:rPr>
          <w:rFonts w:hint="eastAsia" w:ascii="Times New Roman" w:hAnsi="Times New Roman" w:eastAsia="宋体" w:cs="Times New Roman"/>
          <w:szCs w:val="21"/>
        </w:rPr>
        <w:t>。</w:t>
      </w:r>
      <w:r>
        <w:rPr>
          <w:rFonts w:ascii="Times New Roman" w:hAnsi="Times New Roman" w:eastAsia="宋体" w:cs="Times New Roman"/>
          <w:szCs w:val="21"/>
        </w:rPr>
        <w:t>具有</w:t>
      </w:r>
      <w:r>
        <w:rPr>
          <w:rFonts w:hint="eastAsia" w:ascii="Times New Roman" w:hAnsi="Times New Roman" w:eastAsia="宋体" w:cs="Times New Roman"/>
          <w:szCs w:val="21"/>
        </w:rPr>
        <w:t>科学</w:t>
      </w:r>
      <w:r>
        <w:rPr>
          <w:rFonts w:ascii="Times New Roman" w:hAnsi="Times New Roman" w:eastAsia="宋体" w:cs="Times New Roman"/>
          <w:szCs w:val="21"/>
        </w:rPr>
        <w:t>逻辑思维</w:t>
      </w:r>
      <w:r>
        <w:rPr>
          <w:rFonts w:hint="eastAsia" w:ascii="Times New Roman" w:hAnsi="Times New Roman" w:eastAsia="宋体" w:cs="Times New Roman"/>
          <w:szCs w:val="21"/>
        </w:rPr>
        <w:t>、批判思维和较高</w:t>
      </w:r>
      <w:r>
        <w:rPr>
          <w:rFonts w:ascii="Times New Roman" w:hAnsi="Times New Roman" w:eastAsia="宋体" w:cs="Times New Roman"/>
          <w:szCs w:val="21"/>
        </w:rPr>
        <w:t>的创新能力，能够独立从事</w:t>
      </w:r>
      <w:r>
        <w:rPr>
          <w:rFonts w:hint="eastAsia" w:ascii="Times New Roman" w:hAnsi="Times New Roman" w:eastAsia="宋体" w:cs="Times New Roman"/>
          <w:szCs w:val="21"/>
        </w:rPr>
        <w:t>基础医学</w:t>
      </w:r>
      <w:r>
        <w:rPr>
          <w:rFonts w:ascii="Times New Roman" w:hAnsi="Times New Roman" w:eastAsia="宋体" w:cs="Times New Roman"/>
          <w:szCs w:val="21"/>
        </w:rPr>
        <w:t>及相关领域科学研究工作</w:t>
      </w:r>
      <w:r>
        <w:rPr>
          <w:rFonts w:hint="eastAsia" w:ascii="Times New Roman" w:hAnsi="Times New Roman" w:eastAsia="宋体" w:cs="Times New Roman"/>
          <w:szCs w:val="21"/>
        </w:rPr>
        <w:t>。</w:t>
      </w:r>
      <w:r>
        <w:rPr>
          <w:rFonts w:ascii="Times New Roman" w:hAnsi="Times New Roman" w:eastAsia="宋体" w:cs="Times New Roman"/>
          <w:szCs w:val="21"/>
        </w:rPr>
        <w:t>具有较</w:t>
      </w:r>
      <w:r>
        <w:rPr>
          <w:rFonts w:hint="eastAsia" w:ascii="Times New Roman" w:hAnsi="Times New Roman" w:eastAsia="宋体" w:cs="Times New Roman"/>
          <w:szCs w:val="21"/>
        </w:rPr>
        <w:t>强</w:t>
      </w:r>
      <w:r>
        <w:rPr>
          <w:rFonts w:ascii="Times New Roman" w:hAnsi="Times New Roman" w:eastAsia="宋体" w:cs="Times New Roman"/>
          <w:szCs w:val="21"/>
        </w:rPr>
        <w:t>的语言</w:t>
      </w:r>
      <w:r>
        <w:rPr>
          <w:rFonts w:hint="eastAsia" w:ascii="Times New Roman" w:hAnsi="Times New Roman" w:eastAsia="宋体" w:cs="Times New Roman"/>
          <w:szCs w:val="21"/>
        </w:rPr>
        <w:t>交流</w:t>
      </w:r>
      <w:r>
        <w:rPr>
          <w:rFonts w:ascii="Times New Roman" w:hAnsi="Times New Roman" w:eastAsia="宋体" w:cs="Times New Roman"/>
          <w:szCs w:val="21"/>
        </w:rPr>
        <w:t>和文字表达能力</w:t>
      </w:r>
      <w:r>
        <w:rPr>
          <w:rFonts w:hint="eastAsia"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w:t>
      </w:r>
      <w:r>
        <w:rPr>
          <w:rFonts w:ascii="Times New Roman" w:hAnsi="Times New Roman" w:eastAsia="宋体" w:cs="Times New Roman"/>
          <w:szCs w:val="21"/>
        </w:rPr>
        <w:t xml:space="preserve"> 具有强烈的社会责任感和良好的团队合作</w:t>
      </w:r>
      <w:r>
        <w:rPr>
          <w:rFonts w:hint="eastAsia" w:ascii="Times New Roman" w:hAnsi="Times New Roman" w:eastAsia="宋体" w:cs="Times New Roman"/>
          <w:szCs w:val="21"/>
        </w:rPr>
        <w:t>精神。</w:t>
      </w:r>
      <w:r>
        <w:rPr>
          <w:rFonts w:ascii="Times New Roman" w:hAnsi="Times New Roman" w:eastAsia="宋体" w:cs="Times New Roman"/>
          <w:szCs w:val="21"/>
        </w:rPr>
        <w:t>能够运用</w:t>
      </w:r>
      <w:r>
        <w:rPr>
          <w:rFonts w:hint="eastAsia" w:ascii="Times New Roman" w:hAnsi="Times New Roman" w:eastAsia="宋体" w:cs="Times New Roman"/>
          <w:szCs w:val="21"/>
        </w:rPr>
        <w:t>其他学科的前沿</w:t>
      </w:r>
      <w:r>
        <w:rPr>
          <w:rFonts w:ascii="Times New Roman" w:hAnsi="Times New Roman" w:eastAsia="宋体" w:cs="Times New Roman"/>
          <w:szCs w:val="21"/>
        </w:rPr>
        <w:t>知识和</w:t>
      </w:r>
      <w:r>
        <w:rPr>
          <w:rFonts w:hint="eastAsia" w:ascii="Times New Roman" w:hAnsi="Times New Roman" w:eastAsia="宋体" w:cs="Times New Roman"/>
          <w:szCs w:val="21"/>
        </w:rPr>
        <w:t>先进技术，</w:t>
      </w:r>
      <w:r>
        <w:rPr>
          <w:rFonts w:ascii="Times New Roman" w:hAnsi="Times New Roman" w:eastAsia="宋体" w:cs="Times New Roman"/>
          <w:szCs w:val="21"/>
        </w:rPr>
        <w:t>开展</w:t>
      </w:r>
      <w:r>
        <w:rPr>
          <w:rFonts w:hint="eastAsia" w:ascii="Times New Roman" w:hAnsi="Times New Roman" w:eastAsia="宋体" w:cs="Times New Roman"/>
          <w:szCs w:val="21"/>
        </w:rPr>
        <w:t>交叉融合性的</w:t>
      </w:r>
      <w:r>
        <w:rPr>
          <w:rFonts w:ascii="Times New Roman" w:hAnsi="Times New Roman" w:eastAsia="宋体" w:cs="Times New Roman"/>
          <w:szCs w:val="21"/>
        </w:rPr>
        <w:t>科学研究</w:t>
      </w:r>
      <w:r>
        <w:rPr>
          <w:rFonts w:hint="eastAsia" w:ascii="Times New Roman" w:hAnsi="Times New Roman" w:eastAsia="宋体" w:cs="Times New Roman"/>
          <w:szCs w:val="21"/>
        </w:rPr>
        <w:t>。</w:t>
      </w:r>
      <w:r>
        <w:rPr>
          <w:rFonts w:ascii="Times New Roman" w:hAnsi="Times New Roman" w:eastAsia="宋体" w:cs="Times New Roman"/>
          <w:szCs w:val="21"/>
        </w:rPr>
        <w:t>具有较强管理沟通能力，能够有效</w:t>
      </w:r>
      <w:r>
        <w:rPr>
          <w:rFonts w:hint="eastAsia" w:ascii="Times New Roman" w:hAnsi="Times New Roman" w:eastAsia="宋体" w:cs="Times New Roman"/>
          <w:szCs w:val="21"/>
        </w:rPr>
        <w:t>利用</w:t>
      </w:r>
      <w:r>
        <w:rPr>
          <w:rFonts w:ascii="Times New Roman" w:hAnsi="Times New Roman" w:eastAsia="宋体" w:cs="Times New Roman"/>
          <w:szCs w:val="21"/>
        </w:rPr>
        <w:t>各种资源</w:t>
      </w:r>
      <w:r>
        <w:rPr>
          <w:rFonts w:hint="eastAsia" w:ascii="Times New Roman" w:hAnsi="Times New Roman" w:eastAsia="宋体" w:cs="Times New Roman"/>
          <w:szCs w:val="21"/>
        </w:rPr>
        <w:t>提高工</w:t>
      </w:r>
      <w:r>
        <w:rPr>
          <w:rFonts w:ascii="Times New Roman" w:hAnsi="Times New Roman" w:eastAsia="宋体" w:cs="Times New Roman"/>
          <w:szCs w:val="21"/>
        </w:rPr>
        <w:t>作效率。</w:t>
      </w:r>
    </w:p>
    <w:p>
      <w:pPr>
        <w:spacing w:before="120" w:beforeLines="50" w:after="120" w:afterLines="50" w:line="286" w:lineRule="auto"/>
        <w:rPr>
          <w:rFonts w:ascii="黑体" w:hAnsi="黑体" w:eastAsia="黑体"/>
          <w:sz w:val="24"/>
          <w:szCs w:val="24"/>
        </w:rPr>
      </w:pPr>
      <w:r>
        <w:rPr>
          <w:rFonts w:ascii="黑体" w:hAnsi="黑体" w:eastAsia="黑体"/>
          <w:sz w:val="24"/>
          <w:szCs w:val="24"/>
        </w:rPr>
        <w:t>二、研究方向</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1．人体解剖与组织胚胎学；</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2．免疫学；</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3．病原生物学；</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4．病理学与病理生理学；</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5．法医学；</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．口腔生物医学</w:t>
      </w:r>
      <w:r>
        <w:rPr>
          <w:rFonts w:hint="eastAsia"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7. 疫苗与免疫工程(交叉)。</w:t>
      </w:r>
    </w:p>
    <w:p>
      <w:pPr>
        <w:spacing w:before="120" w:beforeLines="50" w:after="120" w:afterLines="50" w:line="286" w:lineRule="auto"/>
        <w:rPr>
          <w:rFonts w:ascii="黑体" w:hAnsi="黑体" w:eastAsia="黑体"/>
          <w:sz w:val="24"/>
          <w:szCs w:val="24"/>
        </w:rPr>
      </w:pPr>
      <w:bookmarkStart w:id="96" w:name="_Toc519846385"/>
      <w:bookmarkStart w:id="97" w:name="_Toc392086434"/>
      <w:bookmarkStart w:id="98" w:name="_Toc392664192"/>
      <w:bookmarkStart w:id="99" w:name="_Toc534657589"/>
      <w:bookmarkStart w:id="100" w:name="_Toc534577258"/>
      <w:bookmarkStart w:id="101" w:name="_Toc487802500"/>
      <w:bookmarkStart w:id="102" w:name="_Toc422409365"/>
      <w:bookmarkStart w:id="103" w:name="_Toc423012018"/>
      <w:bookmarkStart w:id="104" w:name="_Toc392837592"/>
      <w:bookmarkStart w:id="105" w:name="_Toc392596073"/>
      <w:bookmarkStart w:id="106" w:name="_Toc393276243"/>
      <w:bookmarkStart w:id="107" w:name="_Toc392579513"/>
      <w:bookmarkStart w:id="108" w:name="_Toc393120836"/>
      <w:bookmarkStart w:id="109" w:name="_Toc520822605"/>
      <w:bookmarkStart w:id="110" w:name="_Toc392774717"/>
      <w:bookmarkStart w:id="111" w:name="_Toc422988817"/>
      <w:bookmarkStart w:id="112" w:name="_Toc393211221"/>
      <w:bookmarkStart w:id="113" w:name="_Toc422842493"/>
      <w:r>
        <w:rPr>
          <w:rFonts w:ascii="黑体" w:hAnsi="黑体" w:eastAsia="黑体"/>
          <w:sz w:val="24"/>
          <w:szCs w:val="24"/>
        </w:rPr>
        <w:t>三、学习年限</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本专业博士生的学习年限一般为3-5年，第一学年学习专业基础理论，掌握进行科研所必需的基本技能并写出文献综述。从第二年开始在导师指导下进入课题研究和学位论文准备阶段。从事课题研究工作（选题、实验设计、实验操作、数据处理、结果分析总结、论文撰写等）的时间不得少于2年。</w:t>
      </w:r>
    </w:p>
    <w:p>
      <w:pPr>
        <w:spacing w:before="120" w:beforeLines="50" w:after="120" w:afterLines="50" w:line="286" w:lineRule="auto"/>
        <w:rPr>
          <w:rFonts w:ascii="黑体" w:hAnsi="黑体" w:eastAsia="黑体"/>
          <w:sz w:val="24"/>
          <w:szCs w:val="24"/>
        </w:rPr>
      </w:pPr>
      <w:bookmarkStart w:id="114" w:name="_Toc393276244"/>
      <w:bookmarkStart w:id="115" w:name="_Toc392596074"/>
      <w:bookmarkStart w:id="116" w:name="_Toc520822606"/>
      <w:bookmarkStart w:id="117" w:name="_Toc393211222"/>
      <w:bookmarkStart w:id="118" w:name="_Toc534657590"/>
      <w:bookmarkStart w:id="119" w:name="_Toc392774718"/>
      <w:bookmarkStart w:id="120" w:name="_Toc392579514"/>
      <w:bookmarkStart w:id="121" w:name="_Toc422988818"/>
      <w:bookmarkStart w:id="122" w:name="_Toc422409366"/>
      <w:bookmarkStart w:id="123" w:name="_Toc392837593"/>
      <w:bookmarkStart w:id="124" w:name="_Toc393120837"/>
      <w:bookmarkStart w:id="125" w:name="_Toc422842494"/>
      <w:bookmarkStart w:id="126" w:name="_Toc487802501"/>
      <w:bookmarkStart w:id="127" w:name="_Toc392664193"/>
      <w:bookmarkStart w:id="128" w:name="_Toc392086435"/>
      <w:bookmarkStart w:id="129" w:name="_Toc519846386"/>
      <w:bookmarkStart w:id="130" w:name="_Toc534577259"/>
      <w:bookmarkStart w:id="131" w:name="_Toc423012019"/>
      <w:r>
        <w:rPr>
          <w:rFonts w:ascii="黑体" w:hAnsi="黑体" w:eastAsia="黑体"/>
          <w:sz w:val="24"/>
          <w:szCs w:val="24"/>
        </w:rPr>
        <w:t>四、培养方式</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bookmarkStart w:id="132" w:name="_Toc392596075"/>
      <w:bookmarkStart w:id="133" w:name="_Toc487802502"/>
      <w:bookmarkStart w:id="134" w:name="_Toc392837594"/>
      <w:bookmarkStart w:id="135" w:name="_Toc422988819"/>
      <w:bookmarkStart w:id="136" w:name="_Toc422409367"/>
      <w:bookmarkStart w:id="137" w:name="_Toc534577260"/>
      <w:bookmarkStart w:id="138" w:name="_Toc393120838"/>
      <w:bookmarkStart w:id="139" w:name="_Toc392774719"/>
      <w:bookmarkStart w:id="140" w:name="_Toc392664194"/>
      <w:bookmarkStart w:id="141" w:name="_Toc520822607"/>
      <w:bookmarkStart w:id="142" w:name="_Toc422842495"/>
      <w:bookmarkStart w:id="143" w:name="_Toc392579515"/>
      <w:bookmarkStart w:id="144" w:name="_Toc392086436"/>
      <w:bookmarkStart w:id="145" w:name="_Toc393276245"/>
      <w:bookmarkStart w:id="146" w:name="_Toc423012020"/>
      <w:bookmarkStart w:id="147" w:name="_Toc534657591"/>
      <w:bookmarkStart w:id="148" w:name="_Toc519846387"/>
      <w:bookmarkStart w:id="149" w:name="_Toc393211223"/>
      <w:r>
        <w:rPr>
          <w:rFonts w:ascii="Times New Roman" w:hAnsi="Times New Roman" w:cs="Times New Roman"/>
          <w:szCs w:val="21"/>
        </w:rPr>
        <w:t>1</w:t>
      </w:r>
      <w:r>
        <w:rPr>
          <w:rFonts w:ascii="Times New Roman" w:hAnsi="Times New Roman" w:eastAsia="宋体" w:cs="Times New Roman"/>
          <w:szCs w:val="21"/>
        </w:rPr>
        <w:t>．</w:t>
      </w:r>
      <w:r>
        <w:rPr>
          <w:rFonts w:cs="Times New Roman" w:asciiTheme="minorEastAsia" w:hAnsiTheme="minorEastAsia"/>
          <w:szCs w:val="21"/>
        </w:rPr>
        <w:t>导师小组联合指导，导师负责制。各系、中心应成立以博士生导师为</w:t>
      </w:r>
      <w:r>
        <w:rPr>
          <w:rFonts w:ascii="Times New Roman" w:hAnsi="Times New Roman" w:cs="Times New Roman"/>
          <w:szCs w:val="21"/>
        </w:rPr>
        <w:t>主5</w:t>
      </w:r>
      <w:r>
        <w:rPr>
          <w:rFonts w:cs="Times New Roman" w:asciiTheme="minorEastAsia" w:hAnsiTheme="minorEastAsia"/>
          <w:szCs w:val="21"/>
        </w:rPr>
        <w:t>人指导小组及课题小组的有关成员，共同协助搞好</w:t>
      </w:r>
      <w:r>
        <w:rPr>
          <w:rFonts w:hint="eastAsia" w:cs="Times New Roman" w:asciiTheme="minorEastAsia" w:hAnsiTheme="minorEastAsia"/>
          <w:szCs w:val="21"/>
        </w:rPr>
        <w:t>博士</w:t>
      </w:r>
      <w:r>
        <w:rPr>
          <w:rFonts w:cs="Times New Roman" w:asciiTheme="minorEastAsia" w:hAnsiTheme="minorEastAsia"/>
          <w:szCs w:val="21"/>
        </w:rPr>
        <w:t>研究生的培养工作。</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2</w:t>
      </w:r>
      <w:r>
        <w:rPr>
          <w:rFonts w:ascii="Times New Roman" w:hAnsi="Times New Roman" w:eastAsia="宋体" w:cs="Times New Roman"/>
          <w:szCs w:val="21"/>
        </w:rPr>
        <w:t>．</w:t>
      </w:r>
      <w:r>
        <w:rPr>
          <w:rFonts w:cs="Times New Roman" w:asciiTheme="minorEastAsia" w:hAnsiTheme="minorEastAsia"/>
          <w:szCs w:val="21"/>
        </w:rPr>
        <w:t>课程学习要满足需要的学分；课程包括本专业的基础和前沿课程和开展自己研究工作的必要知识和技术，可采用上课、学术报告、国际交流、讨论等方式。</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3</w:t>
      </w:r>
      <w:r>
        <w:rPr>
          <w:rFonts w:ascii="Times New Roman" w:hAnsi="Times New Roman" w:eastAsia="宋体" w:cs="Times New Roman"/>
          <w:szCs w:val="21"/>
        </w:rPr>
        <w:t>．</w:t>
      </w:r>
      <w:r>
        <w:rPr>
          <w:rFonts w:cs="Times New Roman" w:asciiTheme="minorEastAsia" w:hAnsiTheme="minorEastAsia"/>
          <w:szCs w:val="21"/>
        </w:rPr>
        <w:t>积极鼓励学生参加会议、讲座等，展丰富多彩的科研活动，营造浓郁的科研氛围，提升学生的科研兴趣，增强学生解决重大科学问题的动力。</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4</w:t>
      </w:r>
      <w:r>
        <w:rPr>
          <w:rFonts w:ascii="Times New Roman" w:hAnsi="Times New Roman" w:eastAsia="宋体" w:cs="Times New Roman"/>
          <w:szCs w:val="21"/>
        </w:rPr>
        <w:t>．</w:t>
      </w:r>
      <w:r>
        <w:rPr>
          <w:rFonts w:cs="Times New Roman" w:asciiTheme="minorEastAsia" w:hAnsiTheme="minorEastAsia"/>
          <w:szCs w:val="21"/>
        </w:rPr>
        <w:t>通过课题组、院系的科研汇报会、文献阅读会、小组讨论会，个别指导等形式，逐步强化学生的科研创新能力。</w:t>
      </w:r>
    </w:p>
    <w:p>
      <w:pPr>
        <w:keepNext w:val="0"/>
        <w:keepLines w:val="0"/>
        <w:pageBreakBefore w:val="0"/>
        <w:widowControl w:val="0"/>
        <w:tabs>
          <w:tab w:val="left" w:pos="3900"/>
        </w:tabs>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5</w:t>
      </w:r>
      <w:r>
        <w:rPr>
          <w:rFonts w:ascii="Times New Roman" w:hAnsi="Times New Roman" w:eastAsia="宋体" w:cs="Times New Roman"/>
          <w:szCs w:val="21"/>
        </w:rPr>
        <w:t>．</w:t>
      </w:r>
      <w:r>
        <w:rPr>
          <w:rFonts w:cs="Times New Roman" w:asciiTheme="minorEastAsia" w:hAnsiTheme="minorEastAsia"/>
          <w:szCs w:val="21"/>
        </w:rPr>
        <w:t>加强培养期间的过程管理，第一学年学习专业基础理论，掌握进行科研所必需的基本技能并写出文献综述。从第二年开始在导师指导下进入课题研究和学位论文准备阶段。</w:t>
      </w:r>
      <w:r>
        <w:rPr>
          <w:rFonts w:hint="eastAsia" w:cs="Times New Roman" w:asciiTheme="minorEastAsia" w:hAnsiTheme="minorEastAsia"/>
          <w:szCs w:val="21"/>
        </w:rPr>
        <w:t>博士生</w:t>
      </w:r>
      <w:r>
        <w:rPr>
          <w:rFonts w:cs="Times New Roman" w:asciiTheme="minorEastAsia" w:hAnsiTheme="minorEastAsia"/>
          <w:szCs w:val="21"/>
        </w:rPr>
        <w:t>应在第第四学年末完成博士中期考核。</w:t>
      </w:r>
    </w:p>
    <w:p>
      <w:pPr>
        <w:spacing w:before="120" w:beforeLines="50" w:after="120" w:afterLines="50" w:line="286" w:lineRule="auto"/>
        <w:rPr>
          <w:rFonts w:ascii="黑体" w:hAnsi="黑体" w:eastAsia="黑体"/>
          <w:sz w:val="24"/>
          <w:szCs w:val="24"/>
        </w:rPr>
      </w:pPr>
      <w:r>
        <w:rPr>
          <w:rFonts w:ascii="黑体" w:hAnsi="黑体" w:eastAsia="黑体"/>
          <w:sz w:val="24"/>
          <w:szCs w:val="24"/>
        </w:rPr>
        <w:t>五、课程设置及学分要求</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本学科学术型培养方案共需修满</w:t>
      </w:r>
      <w:r>
        <w:rPr>
          <w:rFonts w:cs="Times New Roman" w:asciiTheme="minorEastAsia" w:hAnsiTheme="minorEastAsia"/>
          <w:szCs w:val="21"/>
        </w:rPr>
        <w:t>27</w:t>
      </w:r>
      <w:r>
        <w:rPr>
          <w:rFonts w:hint="eastAsia" w:cs="Times New Roman" w:asciiTheme="minorEastAsia" w:hAnsiTheme="minorEastAsia"/>
          <w:szCs w:val="21"/>
        </w:rPr>
        <w:t>学分，其中课程学习</w:t>
      </w:r>
      <w:r>
        <w:rPr>
          <w:rFonts w:cs="Times New Roman" w:asciiTheme="minorEastAsia" w:hAnsiTheme="minorEastAsia"/>
          <w:szCs w:val="21"/>
        </w:rPr>
        <w:t>10</w:t>
      </w:r>
      <w:r>
        <w:rPr>
          <w:rFonts w:hint="eastAsia" w:cs="Times New Roman" w:asciiTheme="minorEastAsia" w:hAnsiTheme="minorEastAsia"/>
          <w:szCs w:val="21"/>
        </w:rPr>
        <w:t>学分，必修环节</w:t>
      </w:r>
      <w:r>
        <w:rPr>
          <w:rFonts w:cs="Times New Roman" w:asciiTheme="minorEastAsia" w:hAnsiTheme="minorEastAsia"/>
          <w:szCs w:val="21"/>
        </w:rPr>
        <w:t>17学分</w:t>
      </w:r>
      <w:r>
        <w:rPr>
          <w:rFonts w:hint="eastAsia" w:cs="Times New Roman" w:asciiTheme="minorEastAsia" w:hAnsiTheme="minorEastAsia"/>
          <w:szCs w:val="21"/>
        </w:rPr>
        <w:t>。</w:t>
      </w:r>
      <w:r>
        <w:rPr>
          <w:rFonts w:cs="Times New Roman" w:asciiTheme="minorEastAsia" w:hAnsiTheme="minorEastAsia"/>
          <w:szCs w:val="21"/>
        </w:rPr>
        <w:t>课程学习包括：学位课6学分，选修课4学分。</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cs="Times New Roman" w:asciiTheme="minorEastAsia" w:hAnsiTheme="minorEastAsia"/>
          <w:szCs w:val="21"/>
        </w:rPr>
      </w:pPr>
    </w:p>
    <w:tbl>
      <w:tblPr>
        <w:tblStyle w:val="37"/>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547"/>
        <w:gridCol w:w="1030"/>
        <w:gridCol w:w="1407"/>
        <w:gridCol w:w="2650"/>
        <w:gridCol w:w="61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8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ascii="Times New Roman" w:hAnsi="Times New Roman" w:eastAsia="宋体" w:cs="Times New Roman"/>
                <w:b/>
                <w:szCs w:val="21"/>
              </w:rPr>
            </w:pPr>
            <w:r>
              <w:rPr>
                <w:rFonts w:ascii="Times New Roman" w:hAnsi="Times New Roman" w:eastAsia="宋体" w:cs="Times New Roman"/>
                <w:b/>
                <w:szCs w:val="21"/>
              </w:rPr>
              <w:t>课程性质</w:t>
            </w:r>
          </w:p>
        </w:tc>
        <w:tc>
          <w:tcPr>
            <w:tcW w:w="3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ascii="Times New Roman" w:hAnsi="Times New Roman" w:eastAsia="宋体" w:cs="Times New Roman"/>
                <w:b/>
                <w:szCs w:val="21"/>
              </w:rPr>
            </w:pPr>
            <w:r>
              <w:rPr>
                <w:rFonts w:ascii="Times New Roman" w:hAnsi="Times New Roman" w:eastAsia="宋体" w:cs="Times New Roman"/>
                <w:b/>
                <w:szCs w:val="21"/>
              </w:rPr>
              <w:t>序号</w:t>
            </w:r>
          </w:p>
        </w:tc>
        <w:tc>
          <w:tcPr>
            <w:tcW w:w="5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ascii="Times New Roman" w:hAnsi="Times New Roman" w:eastAsia="宋体" w:cs="Times New Roman"/>
                <w:b/>
                <w:szCs w:val="21"/>
              </w:rPr>
            </w:pPr>
            <w:r>
              <w:rPr>
                <w:rFonts w:ascii="宋体" w:hAnsi="宋体" w:eastAsia="宋体" w:cs="Times New Roman"/>
                <w:b/>
                <w:szCs w:val="21"/>
              </w:rPr>
              <w:t>课程编号</w:t>
            </w:r>
          </w:p>
        </w:tc>
        <w:tc>
          <w:tcPr>
            <w:tcW w:w="7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ascii="宋体" w:hAnsi="宋体" w:eastAsia="宋体" w:cs="Times New Roman"/>
                <w:b/>
                <w:szCs w:val="21"/>
              </w:rPr>
            </w:pPr>
            <w:r>
              <w:rPr>
                <w:rFonts w:hint="eastAsia" w:ascii="宋体" w:hAnsi="宋体" w:eastAsia="宋体" w:cs="Times New Roman"/>
                <w:b/>
                <w:szCs w:val="21"/>
              </w:rPr>
              <w:t>统一编号</w:t>
            </w:r>
          </w:p>
        </w:tc>
        <w:tc>
          <w:tcPr>
            <w:tcW w:w="14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ascii="Times New Roman" w:hAnsi="Times New Roman" w:eastAsia="宋体" w:cs="Times New Roman"/>
                <w:b/>
                <w:szCs w:val="21"/>
              </w:rPr>
            </w:pPr>
            <w:r>
              <w:rPr>
                <w:rFonts w:ascii="Times New Roman" w:hAnsi="Times New Roman" w:eastAsia="宋体" w:cs="Times New Roman"/>
                <w:b/>
                <w:szCs w:val="21"/>
              </w:rPr>
              <w:t>课程名称</w:t>
            </w:r>
          </w:p>
        </w:tc>
        <w:tc>
          <w:tcPr>
            <w:tcW w:w="3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ascii="Times New Roman" w:hAnsi="Times New Roman" w:eastAsia="宋体" w:cs="Times New Roman"/>
                <w:b/>
                <w:szCs w:val="21"/>
              </w:rPr>
            </w:pPr>
            <w:r>
              <w:rPr>
                <w:rFonts w:ascii="Times New Roman" w:hAnsi="Times New Roman" w:eastAsia="宋体" w:cs="Times New Roman"/>
                <w:b/>
                <w:szCs w:val="21"/>
              </w:rPr>
              <w:t>学分</w:t>
            </w:r>
          </w:p>
        </w:tc>
        <w:tc>
          <w:tcPr>
            <w:tcW w:w="7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ascii="Times New Roman" w:hAnsi="Times New Roman" w:eastAsia="宋体" w:cs="Times New Roman"/>
                <w:b/>
                <w:szCs w:val="21"/>
              </w:rPr>
            </w:pPr>
            <w:r>
              <w:rPr>
                <w:rFonts w:hint="eastAsia" w:ascii="Times New Roman" w:hAnsi="Times New Roman" w:eastAsia="宋体" w:cs="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Cs w:val="21"/>
              </w:rPr>
            </w:pPr>
            <w:r>
              <w:rPr>
                <w:rFonts w:ascii="Times New Roman" w:hAnsi="Times New Roman" w:eastAsia="宋体" w:cs="Times New Roman"/>
                <w:szCs w:val="21"/>
              </w:rPr>
              <w:t>公共学位课</w:t>
            </w:r>
          </w:p>
        </w:tc>
        <w:tc>
          <w:tcPr>
            <w:tcW w:w="306"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1</w:t>
            </w:r>
          </w:p>
        </w:tc>
        <w:tc>
          <w:tcPr>
            <w:tcW w:w="576"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Times New Roman"/>
                <w:szCs w:val="21"/>
              </w:rPr>
            </w:pPr>
            <w:r>
              <w:rPr>
                <w:rFonts w:ascii="宋体" w:hAnsi="宋体" w:eastAsia="宋体" w:cs="Times New Roman"/>
                <w:szCs w:val="21"/>
              </w:rPr>
              <w:t>141006</w:t>
            </w:r>
          </w:p>
        </w:tc>
        <w:tc>
          <w:tcPr>
            <w:tcW w:w="787"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Times New Roman"/>
                <w:szCs w:val="21"/>
              </w:rPr>
            </w:pPr>
            <w:r>
              <w:rPr>
                <w:rFonts w:ascii="宋体" w:hAnsi="宋体" w:eastAsia="宋体" w:cs="Times New Roman"/>
                <w:szCs w:val="21"/>
              </w:rPr>
              <w:t>MLMD600114</w:t>
            </w:r>
          </w:p>
        </w:tc>
        <w:tc>
          <w:tcPr>
            <w:tcW w:w="1482"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Cs w:val="21"/>
              </w:rPr>
            </w:pPr>
            <w:r>
              <w:rPr>
                <w:rFonts w:ascii="Times New Roman" w:hAnsi="Times New Roman" w:eastAsia="宋体" w:cs="Times New Roman"/>
                <w:szCs w:val="21"/>
              </w:rPr>
              <w:t>中国马克思主义与当代</w:t>
            </w:r>
          </w:p>
        </w:tc>
        <w:tc>
          <w:tcPr>
            <w:tcW w:w="341"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7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2学分</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01"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Cs w:val="21"/>
              </w:rPr>
            </w:pPr>
            <w:r>
              <w:rPr>
                <w:rFonts w:hint="eastAsia" w:ascii="Times New Roman" w:hAnsi="Times New Roman" w:eastAsia="宋体" w:cs="Times New Roman"/>
                <w:szCs w:val="21"/>
              </w:rPr>
              <w:t>学科</w:t>
            </w:r>
            <w:r>
              <w:rPr>
                <w:rFonts w:ascii="Times New Roman" w:hAnsi="Times New Roman" w:eastAsia="宋体" w:cs="Times New Roman"/>
                <w:szCs w:val="21"/>
              </w:rPr>
              <w:t>学位课</w:t>
            </w:r>
          </w:p>
        </w:tc>
        <w:tc>
          <w:tcPr>
            <w:tcW w:w="306"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1</w:t>
            </w:r>
          </w:p>
        </w:tc>
        <w:tc>
          <w:tcPr>
            <w:tcW w:w="576"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Times New Roman"/>
                <w:szCs w:val="21"/>
              </w:rPr>
            </w:pPr>
            <w:r>
              <w:rPr>
                <w:rFonts w:ascii="宋体" w:hAnsi="宋体" w:eastAsia="宋体" w:cs="Times New Roman"/>
                <w:szCs w:val="21"/>
              </w:rPr>
              <w:t>152078</w:t>
            </w:r>
          </w:p>
        </w:tc>
        <w:tc>
          <w:tcPr>
            <w:tcW w:w="787"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Times New Roman"/>
                <w:szCs w:val="21"/>
              </w:rPr>
            </w:pPr>
            <w:r>
              <w:rPr>
                <w:rFonts w:ascii="宋体" w:hAnsi="宋体" w:eastAsia="宋体" w:cs="Times New Roman"/>
                <w:szCs w:val="21"/>
              </w:rPr>
              <w:t>BASM611815</w:t>
            </w:r>
          </w:p>
        </w:tc>
        <w:tc>
          <w:tcPr>
            <w:tcW w:w="1482"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Cs w:val="21"/>
              </w:rPr>
            </w:pPr>
            <w:r>
              <w:rPr>
                <w:rFonts w:ascii="Times New Roman" w:hAnsi="Times New Roman" w:eastAsia="宋体" w:cs="Times New Roman"/>
                <w:szCs w:val="21"/>
              </w:rPr>
              <w:t>诺贝尔奖论文剖析</w:t>
            </w:r>
          </w:p>
        </w:tc>
        <w:tc>
          <w:tcPr>
            <w:tcW w:w="341"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7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2学分</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0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c>
          <w:tcPr>
            <w:tcW w:w="306"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1</w:t>
            </w:r>
          </w:p>
        </w:tc>
        <w:tc>
          <w:tcPr>
            <w:tcW w:w="5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Times New Roman"/>
                <w:szCs w:val="21"/>
              </w:rPr>
            </w:pPr>
            <w:r>
              <w:rPr>
                <w:rFonts w:ascii="宋体" w:hAnsi="宋体" w:eastAsia="宋体" w:cs="Times New Roman"/>
                <w:szCs w:val="21"/>
              </w:rPr>
              <w:t>152082</w:t>
            </w:r>
          </w:p>
        </w:tc>
        <w:tc>
          <w:tcPr>
            <w:tcW w:w="7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Times New Roman"/>
                <w:szCs w:val="21"/>
              </w:rPr>
            </w:pPr>
            <w:r>
              <w:rPr>
                <w:rFonts w:ascii="宋体" w:hAnsi="宋体" w:eastAsia="宋体" w:cs="Times New Roman"/>
                <w:szCs w:val="21"/>
              </w:rPr>
              <w:t>BASM710115</w:t>
            </w:r>
          </w:p>
        </w:tc>
        <w:tc>
          <w:tcPr>
            <w:tcW w:w="14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Cs w:val="21"/>
              </w:rPr>
            </w:pPr>
            <w:r>
              <w:rPr>
                <w:rFonts w:ascii="Times New Roman" w:hAnsi="Times New Roman" w:eastAsia="宋体" w:cs="Times New Roman"/>
                <w:szCs w:val="21"/>
              </w:rPr>
              <w:t>人体解剖与组织胚胎学（2）</w:t>
            </w:r>
          </w:p>
        </w:tc>
        <w:tc>
          <w:tcPr>
            <w:tcW w:w="3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706"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ascii="Times New Roman" w:hAnsi="Times New Roman" w:eastAsia="宋体" w:cs="Times New Roman"/>
                <w:szCs w:val="21"/>
              </w:rPr>
              <w:t>根据学生的专业选修</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ascii="Times New Roman" w:hAnsi="Times New Roman" w:eastAsia="宋体" w:cs="Times New Roman"/>
                <w:szCs w:val="21"/>
              </w:rPr>
              <w:t>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0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c>
          <w:tcPr>
            <w:tcW w:w="306"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2</w:t>
            </w:r>
          </w:p>
        </w:tc>
        <w:tc>
          <w:tcPr>
            <w:tcW w:w="5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Times New Roman"/>
                <w:szCs w:val="21"/>
              </w:rPr>
            </w:pPr>
            <w:r>
              <w:rPr>
                <w:rFonts w:ascii="宋体" w:hAnsi="宋体" w:eastAsia="宋体" w:cs="Times New Roman"/>
                <w:szCs w:val="21"/>
              </w:rPr>
              <w:t>152086</w:t>
            </w:r>
          </w:p>
        </w:tc>
        <w:tc>
          <w:tcPr>
            <w:tcW w:w="7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Times New Roman"/>
                <w:szCs w:val="21"/>
              </w:rPr>
            </w:pPr>
            <w:r>
              <w:rPr>
                <w:rFonts w:ascii="宋体" w:hAnsi="宋体" w:eastAsia="宋体" w:cs="Times New Roman"/>
                <w:szCs w:val="21"/>
              </w:rPr>
              <w:t>BASM710415</w:t>
            </w:r>
          </w:p>
        </w:tc>
        <w:tc>
          <w:tcPr>
            <w:tcW w:w="14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Cs w:val="21"/>
              </w:rPr>
            </w:pPr>
            <w:r>
              <w:rPr>
                <w:rFonts w:ascii="Times New Roman" w:hAnsi="Times New Roman" w:eastAsia="宋体" w:cs="Times New Roman"/>
                <w:szCs w:val="21"/>
              </w:rPr>
              <w:t>免疫学（2）</w:t>
            </w:r>
          </w:p>
        </w:tc>
        <w:tc>
          <w:tcPr>
            <w:tcW w:w="3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70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0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c>
          <w:tcPr>
            <w:tcW w:w="306"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3</w:t>
            </w:r>
          </w:p>
        </w:tc>
        <w:tc>
          <w:tcPr>
            <w:tcW w:w="5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Times New Roman"/>
                <w:szCs w:val="21"/>
              </w:rPr>
            </w:pPr>
            <w:r>
              <w:rPr>
                <w:rFonts w:ascii="宋体" w:hAnsi="宋体" w:eastAsia="宋体" w:cs="Times New Roman"/>
                <w:szCs w:val="21"/>
              </w:rPr>
              <w:t>152083</w:t>
            </w:r>
          </w:p>
        </w:tc>
        <w:tc>
          <w:tcPr>
            <w:tcW w:w="7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Times New Roman"/>
                <w:szCs w:val="21"/>
              </w:rPr>
            </w:pPr>
            <w:r>
              <w:rPr>
                <w:rFonts w:ascii="宋体" w:hAnsi="宋体" w:eastAsia="宋体" w:cs="Times New Roman"/>
                <w:szCs w:val="21"/>
              </w:rPr>
              <w:t>BASM710215</w:t>
            </w:r>
          </w:p>
        </w:tc>
        <w:tc>
          <w:tcPr>
            <w:tcW w:w="14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Cs w:val="21"/>
              </w:rPr>
            </w:pPr>
            <w:r>
              <w:rPr>
                <w:rFonts w:ascii="Times New Roman" w:hAnsi="Times New Roman" w:eastAsia="宋体" w:cs="Times New Roman"/>
                <w:szCs w:val="21"/>
              </w:rPr>
              <w:t>病原生物学（2）</w:t>
            </w:r>
          </w:p>
        </w:tc>
        <w:tc>
          <w:tcPr>
            <w:tcW w:w="3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70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0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c>
          <w:tcPr>
            <w:tcW w:w="306"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4</w:t>
            </w:r>
          </w:p>
        </w:tc>
        <w:tc>
          <w:tcPr>
            <w:tcW w:w="5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Times New Roman"/>
                <w:szCs w:val="21"/>
              </w:rPr>
            </w:pPr>
            <w:r>
              <w:rPr>
                <w:rFonts w:ascii="宋体" w:hAnsi="宋体" w:eastAsia="宋体" w:cs="Times New Roman"/>
                <w:szCs w:val="21"/>
              </w:rPr>
              <w:t>152084</w:t>
            </w:r>
          </w:p>
        </w:tc>
        <w:tc>
          <w:tcPr>
            <w:tcW w:w="7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Times New Roman"/>
                <w:szCs w:val="21"/>
              </w:rPr>
            </w:pPr>
            <w:r>
              <w:rPr>
                <w:rFonts w:ascii="宋体" w:hAnsi="宋体" w:eastAsia="宋体" w:cs="Times New Roman"/>
                <w:szCs w:val="21"/>
              </w:rPr>
              <w:t>BASM710315</w:t>
            </w:r>
          </w:p>
        </w:tc>
        <w:tc>
          <w:tcPr>
            <w:tcW w:w="14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Cs w:val="21"/>
              </w:rPr>
            </w:pPr>
            <w:r>
              <w:rPr>
                <w:rFonts w:ascii="Times New Roman" w:hAnsi="Times New Roman" w:eastAsia="宋体" w:cs="Times New Roman"/>
                <w:szCs w:val="21"/>
              </w:rPr>
              <w:t>病理学与病理生理学（2）</w:t>
            </w:r>
          </w:p>
        </w:tc>
        <w:tc>
          <w:tcPr>
            <w:tcW w:w="3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70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0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c>
          <w:tcPr>
            <w:tcW w:w="306"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5</w:t>
            </w:r>
          </w:p>
        </w:tc>
        <w:tc>
          <w:tcPr>
            <w:tcW w:w="5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Times New Roman"/>
                <w:szCs w:val="21"/>
              </w:rPr>
            </w:pPr>
            <w:r>
              <w:rPr>
                <w:rFonts w:ascii="宋体" w:hAnsi="宋体" w:eastAsia="宋体" w:cs="Times New Roman"/>
                <w:szCs w:val="21"/>
              </w:rPr>
              <w:t>152085</w:t>
            </w:r>
          </w:p>
        </w:tc>
        <w:tc>
          <w:tcPr>
            <w:tcW w:w="7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Times New Roman"/>
                <w:szCs w:val="21"/>
              </w:rPr>
            </w:pPr>
            <w:r>
              <w:rPr>
                <w:rFonts w:ascii="宋体" w:hAnsi="宋体" w:eastAsia="宋体" w:cs="Times New Roman"/>
                <w:szCs w:val="21"/>
              </w:rPr>
              <w:t>FORM710115</w:t>
            </w:r>
          </w:p>
        </w:tc>
        <w:tc>
          <w:tcPr>
            <w:tcW w:w="14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Cs w:val="21"/>
              </w:rPr>
            </w:pPr>
            <w:r>
              <w:rPr>
                <w:rFonts w:ascii="Times New Roman" w:hAnsi="Times New Roman" w:eastAsia="宋体" w:cs="Times New Roman"/>
                <w:szCs w:val="21"/>
              </w:rPr>
              <w:t>法医学（2）</w:t>
            </w:r>
          </w:p>
        </w:tc>
        <w:tc>
          <w:tcPr>
            <w:tcW w:w="3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70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01" w:type="pct"/>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c>
          <w:tcPr>
            <w:tcW w:w="306" w:type="pct"/>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6</w:t>
            </w:r>
          </w:p>
        </w:tc>
        <w:tc>
          <w:tcPr>
            <w:tcW w:w="5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Times New Roman"/>
                <w:szCs w:val="21"/>
              </w:rPr>
            </w:pPr>
            <w:r>
              <w:rPr>
                <w:rFonts w:ascii="宋体" w:hAnsi="宋体" w:eastAsia="宋体" w:cs="Times New Roman"/>
                <w:szCs w:val="21"/>
              </w:rPr>
              <w:t>152183</w:t>
            </w:r>
          </w:p>
        </w:tc>
        <w:tc>
          <w:tcPr>
            <w:tcW w:w="7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Times New Roman"/>
                <w:szCs w:val="21"/>
              </w:rPr>
            </w:pPr>
            <w:r>
              <w:rPr>
                <w:rFonts w:ascii="宋体" w:hAnsi="宋体" w:eastAsia="宋体" w:cs="Times New Roman"/>
                <w:szCs w:val="21"/>
              </w:rPr>
              <w:t>STOM710315</w:t>
            </w:r>
          </w:p>
        </w:tc>
        <w:tc>
          <w:tcPr>
            <w:tcW w:w="14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Cs w:val="21"/>
              </w:rPr>
            </w:pPr>
            <w:r>
              <w:rPr>
                <w:rFonts w:ascii="Times New Roman" w:hAnsi="Times New Roman" w:eastAsia="宋体" w:cs="Times New Roman"/>
                <w:szCs w:val="21"/>
              </w:rPr>
              <w:t>口腔生物医学（2）</w:t>
            </w:r>
          </w:p>
        </w:tc>
        <w:tc>
          <w:tcPr>
            <w:tcW w:w="3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706" w:type="pct"/>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学科</w:t>
            </w:r>
            <w:r>
              <w:rPr>
                <w:rFonts w:ascii="Times New Roman" w:hAnsi="Times New Roman" w:eastAsia="宋体" w:cs="Times New Roman"/>
                <w:szCs w:val="21"/>
              </w:rPr>
              <w:t>选修课</w:t>
            </w:r>
          </w:p>
        </w:tc>
        <w:tc>
          <w:tcPr>
            <w:tcW w:w="3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1</w:t>
            </w:r>
          </w:p>
        </w:tc>
        <w:tc>
          <w:tcPr>
            <w:tcW w:w="5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Times New Roman"/>
                <w:szCs w:val="21"/>
              </w:rPr>
            </w:pPr>
            <w:r>
              <w:rPr>
                <w:rFonts w:hint="eastAsia" w:ascii="宋体" w:hAnsi="宋体" w:eastAsia="宋体" w:cs="Times New Roman"/>
                <w:szCs w:val="21"/>
              </w:rPr>
              <w:t>/</w:t>
            </w:r>
          </w:p>
        </w:tc>
        <w:tc>
          <w:tcPr>
            <w:tcW w:w="7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Times New Roman"/>
                <w:szCs w:val="21"/>
              </w:rPr>
            </w:pPr>
            <w:r>
              <w:rPr>
                <w:rFonts w:hint="eastAsia" w:ascii="宋体" w:hAnsi="宋体" w:eastAsia="宋体" w:cs="Times New Roman"/>
                <w:szCs w:val="21"/>
              </w:rPr>
              <w:t>/</w:t>
            </w:r>
          </w:p>
        </w:tc>
        <w:tc>
          <w:tcPr>
            <w:tcW w:w="14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Cs w:val="21"/>
              </w:rPr>
            </w:pPr>
            <w:r>
              <w:rPr>
                <w:rFonts w:ascii="Times New Roman" w:hAnsi="Times New Roman" w:eastAsia="宋体" w:cs="Times New Roman"/>
                <w:szCs w:val="21"/>
              </w:rPr>
              <w:t>研究生课程目录上选修</w:t>
            </w:r>
          </w:p>
        </w:tc>
        <w:tc>
          <w:tcPr>
            <w:tcW w:w="3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ascii="Times New Roman" w:hAnsi="Times New Roman" w:eastAsia="宋体" w:cs="Times New Roman"/>
                <w:szCs w:val="21"/>
              </w:rPr>
              <w:t>≥3</w:t>
            </w:r>
          </w:p>
        </w:tc>
        <w:tc>
          <w:tcPr>
            <w:tcW w:w="7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0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其他</w:t>
            </w:r>
            <w:r>
              <w:rPr>
                <w:rFonts w:ascii="Times New Roman" w:hAnsi="Times New Roman" w:eastAsia="宋体" w:cs="Times New Roman"/>
                <w:szCs w:val="21"/>
              </w:rPr>
              <w:t>选修课</w:t>
            </w:r>
          </w:p>
        </w:tc>
        <w:tc>
          <w:tcPr>
            <w:tcW w:w="3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2</w:t>
            </w:r>
          </w:p>
        </w:tc>
        <w:tc>
          <w:tcPr>
            <w:tcW w:w="5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Times New Roman"/>
                <w:szCs w:val="21"/>
              </w:rPr>
            </w:pPr>
            <w:r>
              <w:rPr>
                <w:rFonts w:hint="eastAsia" w:ascii="宋体" w:hAnsi="宋体" w:eastAsia="宋体" w:cs="Times New Roman"/>
                <w:szCs w:val="21"/>
              </w:rPr>
              <w:t>153044</w:t>
            </w:r>
          </w:p>
        </w:tc>
        <w:tc>
          <w:tcPr>
            <w:tcW w:w="7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Times New Roman"/>
                <w:szCs w:val="21"/>
              </w:rPr>
            </w:pPr>
            <w:r>
              <w:rPr>
                <w:rFonts w:ascii="宋体" w:hAnsi="宋体" w:eastAsia="宋体" w:cs="Times New Roman"/>
                <w:szCs w:val="21"/>
              </w:rPr>
              <w:t>BASM612615</w:t>
            </w:r>
          </w:p>
        </w:tc>
        <w:tc>
          <w:tcPr>
            <w:tcW w:w="14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Cs w:val="21"/>
              </w:rPr>
            </w:pPr>
            <w:r>
              <w:rPr>
                <w:rFonts w:hint="eastAsia" w:ascii="Times New Roman" w:hAnsi="Times New Roman" w:eastAsia="宋体" w:cs="Times New Roman"/>
                <w:szCs w:val="21"/>
              </w:rPr>
              <w:t>研究生</w:t>
            </w:r>
            <w:r>
              <w:rPr>
                <w:rFonts w:ascii="Times New Roman" w:hAnsi="Times New Roman" w:eastAsia="宋体" w:cs="Times New Roman"/>
                <w:szCs w:val="21"/>
              </w:rPr>
              <w:t>论文写作</w:t>
            </w:r>
            <w:r>
              <w:rPr>
                <w:rFonts w:hint="eastAsia" w:ascii="Times New Roman" w:hAnsi="Times New Roman" w:eastAsia="宋体" w:cs="Times New Roman"/>
                <w:szCs w:val="21"/>
              </w:rPr>
              <w:t>指导（15）</w:t>
            </w:r>
          </w:p>
        </w:tc>
        <w:tc>
          <w:tcPr>
            <w:tcW w:w="3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w:t>
            </w:r>
          </w:p>
        </w:tc>
        <w:tc>
          <w:tcPr>
            <w:tcW w:w="70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1学分</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01"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7" w:leftChars="-51" w:firstLine="0" w:firstLineChars="0"/>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必修环节</w:t>
            </w:r>
          </w:p>
        </w:tc>
        <w:tc>
          <w:tcPr>
            <w:tcW w:w="306"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1</w:t>
            </w:r>
          </w:p>
        </w:tc>
        <w:tc>
          <w:tcPr>
            <w:tcW w:w="576"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001999</w:t>
            </w:r>
          </w:p>
        </w:tc>
        <w:tc>
          <w:tcPr>
            <w:tcW w:w="787"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BXHJ8003</w:t>
            </w:r>
            <w:r>
              <w:rPr>
                <w:rFonts w:hint="eastAsia" w:cs="Times New Roman" w:asciiTheme="minorEastAsia" w:hAnsiTheme="minorEastAsia"/>
                <w:szCs w:val="21"/>
              </w:rPr>
              <w:t>99</w:t>
            </w:r>
          </w:p>
        </w:tc>
        <w:tc>
          <w:tcPr>
            <w:tcW w:w="14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cs="Times New Roman"/>
                <w:szCs w:val="21"/>
              </w:rPr>
            </w:pPr>
            <w:r>
              <w:rPr>
                <w:rFonts w:ascii="Times New Roman" w:hAnsi="Times New Roman" w:cs="Times New Roman"/>
                <w:szCs w:val="21"/>
              </w:rPr>
              <w:t>学术活动（讲座）</w:t>
            </w:r>
            <w:r>
              <w:rPr>
                <w:rFonts w:hint="eastAsia" w:ascii="Times New Roman" w:hAnsi="Times New Roman" w:cs="Times New Roman"/>
                <w:szCs w:val="21"/>
              </w:rPr>
              <w:t>博</w:t>
            </w:r>
          </w:p>
        </w:tc>
        <w:tc>
          <w:tcPr>
            <w:tcW w:w="3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Cs w:val="21"/>
              </w:rPr>
            </w:pPr>
            <w:r>
              <w:rPr>
                <w:rFonts w:ascii="Times New Roman" w:hAnsi="Times New Roman" w:cs="Times New Roman"/>
                <w:szCs w:val="21"/>
              </w:rPr>
              <w:t>2</w:t>
            </w:r>
          </w:p>
        </w:tc>
        <w:tc>
          <w:tcPr>
            <w:tcW w:w="706"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17学分</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0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7" w:leftChars="-51" w:firstLine="0" w:firstLineChars="0"/>
              <w:jc w:val="center"/>
              <w:textAlignment w:val="auto"/>
              <w:rPr>
                <w:rFonts w:ascii="Times New Roman" w:hAnsi="Times New Roman" w:eastAsia="宋体" w:cs="Times New Roman"/>
                <w:szCs w:val="21"/>
              </w:rPr>
            </w:pPr>
          </w:p>
        </w:tc>
        <w:tc>
          <w:tcPr>
            <w:tcW w:w="306"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2</w:t>
            </w:r>
          </w:p>
        </w:tc>
        <w:tc>
          <w:tcPr>
            <w:tcW w:w="576"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001987</w:t>
            </w:r>
          </w:p>
        </w:tc>
        <w:tc>
          <w:tcPr>
            <w:tcW w:w="787"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BXHJ6006</w:t>
            </w:r>
            <w:r>
              <w:rPr>
                <w:rFonts w:hint="eastAsia" w:cs="Times New Roman" w:asciiTheme="minorEastAsia" w:hAnsiTheme="minorEastAsia"/>
                <w:szCs w:val="21"/>
              </w:rPr>
              <w:t>99</w:t>
            </w:r>
          </w:p>
        </w:tc>
        <w:tc>
          <w:tcPr>
            <w:tcW w:w="14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cs="Times New Roman"/>
                <w:szCs w:val="21"/>
              </w:rPr>
            </w:pPr>
            <w:r>
              <w:rPr>
                <w:rFonts w:ascii="Times New Roman" w:hAnsi="Times New Roman" w:cs="Times New Roman"/>
                <w:szCs w:val="21"/>
              </w:rPr>
              <w:t>社会实践</w:t>
            </w:r>
          </w:p>
        </w:tc>
        <w:tc>
          <w:tcPr>
            <w:tcW w:w="3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Cs w:val="21"/>
              </w:rPr>
            </w:pPr>
            <w:r>
              <w:rPr>
                <w:rFonts w:ascii="Times New Roman" w:hAnsi="Times New Roman" w:cs="Times New Roman"/>
                <w:szCs w:val="21"/>
              </w:rPr>
              <w:t>1</w:t>
            </w:r>
          </w:p>
        </w:tc>
        <w:tc>
          <w:tcPr>
            <w:tcW w:w="70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0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7" w:leftChars="-51" w:firstLine="0" w:firstLineChars="0"/>
              <w:jc w:val="center"/>
              <w:textAlignment w:val="auto"/>
              <w:rPr>
                <w:rFonts w:ascii="Times New Roman" w:hAnsi="Times New Roman" w:eastAsia="宋体" w:cs="Times New Roman"/>
                <w:szCs w:val="21"/>
              </w:rPr>
            </w:pPr>
          </w:p>
        </w:tc>
        <w:tc>
          <w:tcPr>
            <w:tcW w:w="306"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3</w:t>
            </w:r>
          </w:p>
        </w:tc>
        <w:tc>
          <w:tcPr>
            <w:tcW w:w="576"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001972</w:t>
            </w:r>
          </w:p>
        </w:tc>
        <w:tc>
          <w:tcPr>
            <w:tcW w:w="787"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BXHJ8007</w:t>
            </w:r>
            <w:r>
              <w:rPr>
                <w:rFonts w:hint="eastAsia" w:cs="Times New Roman" w:asciiTheme="minorEastAsia" w:hAnsiTheme="minorEastAsia"/>
                <w:szCs w:val="21"/>
              </w:rPr>
              <w:t>99</w:t>
            </w:r>
          </w:p>
        </w:tc>
        <w:tc>
          <w:tcPr>
            <w:tcW w:w="14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cs="Times New Roman"/>
                <w:szCs w:val="21"/>
              </w:rPr>
            </w:pPr>
            <w:r>
              <w:rPr>
                <w:rFonts w:ascii="Times New Roman" w:hAnsi="Times New Roman" w:cs="Times New Roman"/>
                <w:szCs w:val="21"/>
              </w:rPr>
              <w:t>两助一辅</w:t>
            </w:r>
          </w:p>
        </w:tc>
        <w:tc>
          <w:tcPr>
            <w:tcW w:w="3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2</w:t>
            </w:r>
          </w:p>
        </w:tc>
        <w:tc>
          <w:tcPr>
            <w:tcW w:w="70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0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7" w:leftChars="-51" w:firstLine="0" w:firstLineChars="0"/>
              <w:jc w:val="center"/>
              <w:textAlignment w:val="auto"/>
              <w:rPr>
                <w:rFonts w:ascii="Times New Roman" w:hAnsi="Times New Roman" w:eastAsia="宋体" w:cs="Times New Roman"/>
                <w:szCs w:val="21"/>
              </w:rPr>
            </w:pPr>
          </w:p>
        </w:tc>
        <w:tc>
          <w:tcPr>
            <w:tcW w:w="306"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4</w:t>
            </w:r>
          </w:p>
        </w:tc>
        <w:tc>
          <w:tcPr>
            <w:tcW w:w="576"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001995</w:t>
            </w:r>
          </w:p>
        </w:tc>
        <w:tc>
          <w:tcPr>
            <w:tcW w:w="787"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BXHJ8002</w:t>
            </w:r>
            <w:r>
              <w:rPr>
                <w:rFonts w:hint="eastAsia" w:cs="Times New Roman" w:asciiTheme="minorEastAsia" w:hAnsiTheme="minorEastAsia"/>
                <w:szCs w:val="21"/>
              </w:rPr>
              <w:t>99</w:t>
            </w:r>
          </w:p>
        </w:tc>
        <w:tc>
          <w:tcPr>
            <w:tcW w:w="14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cs="Times New Roman"/>
                <w:szCs w:val="21"/>
              </w:rPr>
            </w:pPr>
            <w:r>
              <w:rPr>
                <w:rFonts w:ascii="Times New Roman" w:hAnsi="Times New Roman" w:cs="Times New Roman"/>
                <w:szCs w:val="21"/>
              </w:rPr>
              <w:t>基金撰写</w:t>
            </w:r>
          </w:p>
        </w:tc>
        <w:tc>
          <w:tcPr>
            <w:tcW w:w="3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1</w:t>
            </w:r>
          </w:p>
        </w:tc>
        <w:tc>
          <w:tcPr>
            <w:tcW w:w="70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0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7" w:leftChars="-51" w:firstLine="0" w:firstLineChars="0"/>
              <w:jc w:val="center"/>
              <w:textAlignment w:val="auto"/>
              <w:rPr>
                <w:rFonts w:ascii="Times New Roman" w:hAnsi="Times New Roman" w:eastAsia="宋体" w:cs="Times New Roman"/>
                <w:szCs w:val="21"/>
              </w:rPr>
            </w:pPr>
          </w:p>
        </w:tc>
        <w:tc>
          <w:tcPr>
            <w:tcW w:w="306"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5</w:t>
            </w:r>
          </w:p>
        </w:tc>
        <w:tc>
          <w:tcPr>
            <w:tcW w:w="576"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001970</w:t>
            </w:r>
          </w:p>
        </w:tc>
        <w:tc>
          <w:tcPr>
            <w:tcW w:w="787"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BXHJ8009</w:t>
            </w:r>
            <w:r>
              <w:rPr>
                <w:rFonts w:hint="eastAsia" w:cs="Times New Roman" w:asciiTheme="minorEastAsia" w:hAnsiTheme="minorEastAsia"/>
                <w:szCs w:val="21"/>
              </w:rPr>
              <w:t>99</w:t>
            </w:r>
          </w:p>
        </w:tc>
        <w:tc>
          <w:tcPr>
            <w:tcW w:w="14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cs="Times New Roman"/>
                <w:szCs w:val="21"/>
              </w:rPr>
            </w:pPr>
            <w:r>
              <w:rPr>
                <w:rFonts w:ascii="Times New Roman" w:hAnsi="Times New Roman" w:cs="Times New Roman"/>
                <w:szCs w:val="21"/>
              </w:rPr>
              <w:t>国际化交流</w:t>
            </w:r>
          </w:p>
        </w:tc>
        <w:tc>
          <w:tcPr>
            <w:tcW w:w="3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1</w:t>
            </w:r>
          </w:p>
        </w:tc>
        <w:tc>
          <w:tcPr>
            <w:tcW w:w="70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0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7" w:leftChars="-51" w:firstLine="0" w:firstLineChars="0"/>
              <w:jc w:val="center"/>
              <w:textAlignment w:val="auto"/>
              <w:rPr>
                <w:rFonts w:ascii="Times New Roman" w:hAnsi="Times New Roman" w:eastAsia="宋体" w:cs="Times New Roman"/>
                <w:szCs w:val="21"/>
              </w:rPr>
            </w:pPr>
          </w:p>
        </w:tc>
        <w:tc>
          <w:tcPr>
            <w:tcW w:w="306"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6</w:t>
            </w:r>
          </w:p>
        </w:tc>
        <w:tc>
          <w:tcPr>
            <w:tcW w:w="5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cs="Times New Roman" w:asciiTheme="minorEastAsia" w:hAnsiTheme="minorEastAsia"/>
                <w:szCs w:val="21"/>
              </w:rPr>
              <w:t>001986</w:t>
            </w:r>
          </w:p>
        </w:tc>
        <w:tc>
          <w:tcPr>
            <w:tcW w:w="7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BXHJ8004</w:t>
            </w:r>
            <w:r>
              <w:rPr>
                <w:rFonts w:hint="eastAsia" w:cs="Times New Roman" w:asciiTheme="minorEastAsia" w:hAnsiTheme="minorEastAsia"/>
                <w:szCs w:val="21"/>
              </w:rPr>
              <w:t>99</w:t>
            </w:r>
          </w:p>
        </w:tc>
        <w:tc>
          <w:tcPr>
            <w:tcW w:w="14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cs="Times New Roman"/>
                <w:szCs w:val="21"/>
              </w:rPr>
            </w:pPr>
            <w:r>
              <w:rPr>
                <w:rFonts w:ascii="Times New Roman" w:hAnsi="Times New Roman" w:cs="Times New Roman"/>
                <w:szCs w:val="21"/>
              </w:rPr>
              <w:t>开题报告</w:t>
            </w:r>
            <w:r>
              <w:rPr>
                <w:rFonts w:hint="eastAsia" w:ascii="Times New Roman" w:hAnsi="Times New Roman" w:cs="Times New Roman"/>
                <w:szCs w:val="21"/>
              </w:rPr>
              <w:t>（博）</w:t>
            </w:r>
          </w:p>
        </w:tc>
        <w:tc>
          <w:tcPr>
            <w:tcW w:w="3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2</w:t>
            </w:r>
          </w:p>
        </w:tc>
        <w:tc>
          <w:tcPr>
            <w:tcW w:w="70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0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7" w:leftChars="-51" w:firstLine="0" w:firstLineChars="0"/>
              <w:jc w:val="center"/>
              <w:textAlignment w:val="auto"/>
              <w:rPr>
                <w:rFonts w:ascii="Times New Roman" w:hAnsi="Times New Roman" w:eastAsia="宋体" w:cs="Times New Roman"/>
                <w:szCs w:val="21"/>
              </w:rPr>
            </w:pPr>
          </w:p>
        </w:tc>
        <w:tc>
          <w:tcPr>
            <w:tcW w:w="306"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7</w:t>
            </w:r>
          </w:p>
        </w:tc>
        <w:tc>
          <w:tcPr>
            <w:tcW w:w="5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001994</w:t>
            </w:r>
          </w:p>
        </w:tc>
        <w:tc>
          <w:tcPr>
            <w:tcW w:w="7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BXHJ8001</w:t>
            </w:r>
            <w:r>
              <w:rPr>
                <w:rFonts w:hint="eastAsia" w:cs="Times New Roman" w:asciiTheme="minorEastAsia" w:hAnsiTheme="minorEastAsia"/>
                <w:szCs w:val="21"/>
              </w:rPr>
              <w:t>99</w:t>
            </w:r>
          </w:p>
        </w:tc>
        <w:tc>
          <w:tcPr>
            <w:tcW w:w="14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cs="Times New Roman"/>
                <w:szCs w:val="21"/>
              </w:rPr>
            </w:pPr>
            <w:r>
              <w:rPr>
                <w:rFonts w:ascii="Times New Roman" w:hAnsi="Times New Roman" w:cs="Times New Roman"/>
                <w:szCs w:val="21"/>
              </w:rPr>
              <w:t>中期考核</w:t>
            </w:r>
            <w:r>
              <w:rPr>
                <w:rFonts w:hint="eastAsia" w:ascii="Times New Roman" w:hAnsi="Times New Roman" w:cs="Times New Roman"/>
                <w:szCs w:val="21"/>
              </w:rPr>
              <w:t>（博）</w:t>
            </w:r>
          </w:p>
        </w:tc>
        <w:tc>
          <w:tcPr>
            <w:tcW w:w="3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6</w:t>
            </w:r>
          </w:p>
        </w:tc>
        <w:tc>
          <w:tcPr>
            <w:tcW w:w="70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0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7" w:leftChars="-51" w:firstLine="0" w:firstLineChars="0"/>
              <w:jc w:val="center"/>
              <w:textAlignment w:val="auto"/>
              <w:rPr>
                <w:rFonts w:ascii="Times New Roman" w:hAnsi="Times New Roman" w:eastAsia="宋体" w:cs="Times New Roman"/>
                <w:szCs w:val="21"/>
              </w:rPr>
            </w:pPr>
          </w:p>
        </w:tc>
        <w:tc>
          <w:tcPr>
            <w:tcW w:w="306"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8</w:t>
            </w:r>
          </w:p>
        </w:tc>
        <w:tc>
          <w:tcPr>
            <w:tcW w:w="57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hint="eastAsia" w:cs="Times New Roman" w:asciiTheme="minorEastAsia" w:hAnsiTheme="minorEastAsia"/>
                <w:szCs w:val="21"/>
              </w:rPr>
              <w:t>001971</w:t>
            </w:r>
          </w:p>
        </w:tc>
        <w:tc>
          <w:tcPr>
            <w:tcW w:w="78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INFT600499</w:t>
            </w:r>
          </w:p>
        </w:tc>
        <w:tc>
          <w:tcPr>
            <w:tcW w:w="14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cs="Times New Roman"/>
                <w:szCs w:val="21"/>
              </w:rPr>
            </w:pPr>
            <w:r>
              <w:rPr>
                <w:rFonts w:ascii="Times New Roman" w:hAnsi="Times New Roman" w:cs="Times New Roman"/>
                <w:szCs w:val="21"/>
              </w:rPr>
              <w:t>文献阅读</w:t>
            </w:r>
          </w:p>
        </w:tc>
        <w:tc>
          <w:tcPr>
            <w:tcW w:w="3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2</w:t>
            </w:r>
          </w:p>
        </w:tc>
        <w:tc>
          <w:tcPr>
            <w:tcW w:w="70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0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7" w:leftChars="-51" w:firstLine="0" w:firstLineChars="0"/>
              <w:jc w:val="center"/>
              <w:textAlignment w:val="auto"/>
              <w:rPr>
                <w:rFonts w:ascii="Times New Roman" w:hAnsi="Times New Roman" w:eastAsia="宋体" w:cs="Times New Roman"/>
                <w:szCs w:val="21"/>
              </w:rPr>
            </w:pPr>
          </w:p>
        </w:tc>
        <w:tc>
          <w:tcPr>
            <w:tcW w:w="306"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9</w:t>
            </w:r>
          </w:p>
        </w:tc>
        <w:tc>
          <w:tcPr>
            <w:tcW w:w="576"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hint="eastAsia" w:ascii="Times New Roman" w:hAnsi="Times New Roman" w:cs="Times New Roman"/>
                <w:szCs w:val="21"/>
              </w:rPr>
              <w:t>001954</w:t>
            </w:r>
          </w:p>
        </w:tc>
        <w:tc>
          <w:tcPr>
            <w:tcW w:w="787"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hint="eastAsia" w:ascii="Times New Roman" w:hAnsi="Times New Roman" w:cs="Times New Roman"/>
                <w:szCs w:val="21"/>
              </w:rPr>
              <w:t>B</w:t>
            </w:r>
            <w:r>
              <w:rPr>
                <w:rFonts w:ascii="Times New Roman" w:hAnsi="Times New Roman" w:cs="Times New Roman"/>
                <w:szCs w:val="21"/>
              </w:rPr>
              <w:t>XHJ602499</w:t>
            </w:r>
          </w:p>
        </w:tc>
        <w:tc>
          <w:tcPr>
            <w:tcW w:w="14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cs="Times New Roman"/>
                <w:szCs w:val="21"/>
              </w:rPr>
            </w:pPr>
            <w:r>
              <w:rPr>
                <w:rFonts w:hint="eastAsia" w:ascii="Times New Roman" w:hAnsi="Times New Roman" w:cs="Times New Roman"/>
                <w:szCs w:val="21"/>
              </w:rPr>
              <w:t>劳动教育</w:t>
            </w:r>
          </w:p>
        </w:tc>
        <w:tc>
          <w:tcPr>
            <w:tcW w:w="3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0</w:t>
            </w:r>
          </w:p>
        </w:tc>
        <w:tc>
          <w:tcPr>
            <w:tcW w:w="70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0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7" w:leftChars="-51" w:firstLine="0" w:firstLineChars="0"/>
              <w:jc w:val="center"/>
              <w:textAlignment w:val="auto"/>
              <w:rPr>
                <w:rFonts w:ascii="Times New Roman" w:hAnsi="Times New Roman" w:eastAsia="宋体" w:cs="Times New Roman"/>
                <w:szCs w:val="21"/>
              </w:rPr>
            </w:pPr>
          </w:p>
        </w:tc>
        <w:tc>
          <w:tcPr>
            <w:tcW w:w="306"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10</w:t>
            </w:r>
          </w:p>
        </w:tc>
        <w:tc>
          <w:tcPr>
            <w:tcW w:w="576"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001955</w:t>
            </w:r>
          </w:p>
        </w:tc>
        <w:tc>
          <w:tcPr>
            <w:tcW w:w="787"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B</w:t>
            </w:r>
            <w:r>
              <w:rPr>
                <w:rFonts w:ascii="Times New Roman" w:hAnsi="Times New Roman" w:cs="Times New Roman"/>
                <w:szCs w:val="21"/>
              </w:rPr>
              <w:t>XHJ602399</w:t>
            </w:r>
          </w:p>
        </w:tc>
        <w:tc>
          <w:tcPr>
            <w:tcW w:w="14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cs="Times New Roman"/>
                <w:szCs w:val="21"/>
              </w:rPr>
            </w:pPr>
            <w:r>
              <w:rPr>
                <w:rFonts w:hint="eastAsia" w:ascii="Times New Roman" w:hAnsi="Times New Roman" w:cs="Times New Roman"/>
                <w:szCs w:val="21"/>
              </w:rPr>
              <w:t>美育</w:t>
            </w:r>
          </w:p>
        </w:tc>
        <w:tc>
          <w:tcPr>
            <w:tcW w:w="3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0</w:t>
            </w:r>
          </w:p>
        </w:tc>
        <w:tc>
          <w:tcPr>
            <w:tcW w:w="70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0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7" w:leftChars="-51" w:firstLine="0" w:firstLineChars="0"/>
              <w:jc w:val="center"/>
              <w:textAlignment w:val="auto"/>
              <w:rPr>
                <w:rFonts w:ascii="Times New Roman" w:hAnsi="Times New Roman" w:eastAsia="宋体" w:cs="Times New Roman"/>
                <w:szCs w:val="21"/>
              </w:rPr>
            </w:pPr>
          </w:p>
        </w:tc>
        <w:tc>
          <w:tcPr>
            <w:tcW w:w="306"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11</w:t>
            </w:r>
          </w:p>
        </w:tc>
        <w:tc>
          <w:tcPr>
            <w:tcW w:w="576"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001956</w:t>
            </w:r>
          </w:p>
        </w:tc>
        <w:tc>
          <w:tcPr>
            <w:tcW w:w="787"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B</w:t>
            </w:r>
            <w:r>
              <w:rPr>
                <w:rFonts w:ascii="Times New Roman" w:hAnsi="Times New Roman" w:cs="Times New Roman"/>
                <w:szCs w:val="21"/>
              </w:rPr>
              <w:t>XHJ602299</w:t>
            </w:r>
          </w:p>
        </w:tc>
        <w:tc>
          <w:tcPr>
            <w:tcW w:w="148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cs="Times New Roman"/>
                <w:szCs w:val="21"/>
              </w:rPr>
            </w:pPr>
            <w:r>
              <w:rPr>
                <w:rFonts w:hint="eastAsia" w:ascii="Times New Roman" w:hAnsi="Times New Roman" w:cs="Times New Roman"/>
                <w:szCs w:val="21"/>
              </w:rPr>
              <w:t>体育</w:t>
            </w:r>
          </w:p>
        </w:tc>
        <w:tc>
          <w:tcPr>
            <w:tcW w:w="3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0</w:t>
            </w:r>
          </w:p>
        </w:tc>
        <w:tc>
          <w:tcPr>
            <w:tcW w:w="706" w:type="pct"/>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r>
    </w:tbl>
    <w:p>
      <w:pPr>
        <w:spacing w:before="120" w:beforeLines="50" w:after="120" w:afterLines="50" w:line="286" w:lineRule="auto"/>
        <w:rPr>
          <w:rFonts w:ascii="黑体" w:hAnsi="黑体" w:eastAsia="黑体"/>
          <w:sz w:val="24"/>
          <w:szCs w:val="24"/>
        </w:rPr>
      </w:pPr>
      <w:r>
        <w:rPr>
          <w:rFonts w:ascii="黑体" w:hAnsi="黑体" w:eastAsia="黑体"/>
          <w:sz w:val="24"/>
          <w:szCs w:val="24"/>
        </w:rPr>
        <w:t>六、</w:t>
      </w:r>
      <w:r>
        <w:rPr>
          <w:rFonts w:hint="eastAsia" w:ascii="黑体" w:hAnsi="黑体" w:eastAsia="黑体"/>
          <w:sz w:val="24"/>
          <w:szCs w:val="24"/>
        </w:rPr>
        <w:t>必修</w:t>
      </w:r>
      <w:r>
        <w:rPr>
          <w:rFonts w:ascii="黑体" w:hAnsi="黑体" w:eastAsia="黑体"/>
          <w:sz w:val="24"/>
          <w:szCs w:val="24"/>
        </w:rPr>
        <w:t>环节</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．学</w:t>
      </w:r>
      <w:r>
        <w:rPr>
          <w:rFonts w:ascii="Times New Roman" w:hAnsi="Times New Roman" w:eastAsia="宋体" w:cs="Times New Roman"/>
          <w:b/>
          <w:bCs/>
          <w:szCs w:val="21"/>
        </w:rPr>
        <w:t>术活动（讲座）</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博士研究生学术活动（讲座）分为必听讲座和选听讲座。必听讲座为</w:t>
      </w:r>
      <w:r>
        <w:rPr>
          <w:rFonts w:cs="Times New Roman" w:asciiTheme="minorEastAsia" w:hAnsiTheme="minorEastAsia"/>
          <w:szCs w:val="21"/>
        </w:rPr>
        <w:t>“科学道德与学风建设”</w:t>
      </w:r>
      <w:r>
        <w:rPr>
          <w:rFonts w:ascii="Times New Roman" w:hAnsi="Times New Roman" w:eastAsia="宋体" w:cs="Times New Roman"/>
          <w:szCs w:val="21"/>
        </w:rPr>
        <w:t>；选听讲座包括与学科紧密相关</w:t>
      </w:r>
      <w:r>
        <w:rPr>
          <w:rFonts w:cs="Times New Roman" w:asciiTheme="minorEastAsia" w:hAnsiTheme="minorEastAsia"/>
          <w:szCs w:val="21"/>
        </w:rPr>
        <w:t>的“学</w:t>
      </w:r>
      <w:r>
        <w:rPr>
          <w:rFonts w:ascii="Times New Roman" w:hAnsi="Times New Roman" w:eastAsia="宋体" w:cs="Times New Roman"/>
          <w:szCs w:val="21"/>
        </w:rPr>
        <w:t>科前沿系列专题</w:t>
      </w:r>
      <w:r>
        <w:rPr>
          <w:rFonts w:cs="Times New Roman" w:asciiTheme="minorEastAsia" w:hAnsiTheme="minorEastAsia"/>
          <w:szCs w:val="21"/>
        </w:rPr>
        <w:t>讲座”（</w:t>
      </w:r>
      <w:r>
        <w:rPr>
          <w:rFonts w:ascii="Times New Roman" w:hAnsi="Times New Roman" w:eastAsia="宋体" w:cs="Times New Roman"/>
          <w:szCs w:val="21"/>
        </w:rPr>
        <w:t>由各二级学科组织若干教授对本学科前沿知识进行讲座，每个讲座由5个以上讲座组成）一个系列和在全校范围内选听</w:t>
      </w:r>
      <w:r>
        <w:rPr>
          <w:rFonts w:cs="Times New Roman" w:asciiTheme="minorEastAsia" w:hAnsiTheme="minorEastAsia"/>
          <w:szCs w:val="21"/>
        </w:rPr>
        <w:t>“学术讲座”</w:t>
      </w:r>
      <w:r>
        <w:rPr>
          <w:rFonts w:ascii="Times New Roman" w:hAnsi="Times New Roman" w:eastAsia="宋体" w:cs="Times New Roman"/>
          <w:szCs w:val="21"/>
        </w:rPr>
        <w:t>1次，自己公开讲座1次，完成后记2学分</w:t>
      </w:r>
      <w:r>
        <w:rPr>
          <w:rFonts w:hint="eastAsia"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w:t>
      </w:r>
      <w:r>
        <w:rPr>
          <w:rFonts w:ascii="Times New Roman" w:hAnsi="Times New Roman" w:eastAsia="宋体" w:cs="Times New Roman"/>
          <w:b/>
          <w:bCs/>
          <w:szCs w:val="21"/>
        </w:rPr>
        <w:t>社会实践</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w:t>
      </w:r>
      <w:r>
        <w:rPr>
          <w:rFonts w:cs="Times New Roman" w:asciiTheme="minorEastAsia" w:hAnsiTheme="minorEastAsia"/>
          <w:szCs w:val="21"/>
        </w:rPr>
        <w:t>社会实践</w:t>
      </w:r>
      <w:r>
        <w:rPr>
          <w:rFonts w:hint="eastAsia" w:cs="Times New Roman" w:asciiTheme="minorEastAsia" w:hAnsiTheme="minorEastAsia"/>
          <w:szCs w:val="21"/>
        </w:rPr>
        <w:t>”</w:t>
      </w:r>
      <w:r>
        <w:rPr>
          <w:rFonts w:cs="Times New Roman" w:asciiTheme="minorEastAsia" w:hAnsiTheme="minorEastAsia"/>
          <w:szCs w:val="21"/>
        </w:rPr>
        <w:t>是指研究生在校学习期间，除完成本学科规定的业务实践外，接触社会、了解社会、服务社会的实践活动。</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可以通过组织和参与社会调查、支教、扶贫及其他志愿者服务等方式进行，提倡以小组或团队形式开展活动，累计不少于</w:t>
      </w:r>
      <w:r>
        <w:rPr>
          <w:rFonts w:ascii="Times New Roman" w:hAnsi="Times New Roman" w:cs="Times New Roman"/>
          <w:szCs w:val="21"/>
        </w:rPr>
        <w:t>10</w:t>
      </w:r>
      <w:r>
        <w:rPr>
          <w:rFonts w:cs="Times New Roman" w:asciiTheme="minorEastAsia" w:hAnsiTheme="minorEastAsia"/>
          <w:szCs w:val="21"/>
        </w:rPr>
        <w:t>个工作日。</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研</w:t>
      </w:r>
      <w:r>
        <w:rPr>
          <w:rFonts w:cs="Times New Roman" w:asciiTheme="minorEastAsia" w:hAnsiTheme="minorEastAsia"/>
          <w:spacing w:val="-2"/>
          <w:szCs w:val="21"/>
        </w:rPr>
        <w:t>究生完成</w:t>
      </w:r>
      <w:r>
        <w:rPr>
          <w:rFonts w:hint="eastAsia" w:cs="Times New Roman" w:asciiTheme="minorEastAsia" w:hAnsiTheme="minorEastAsia"/>
          <w:spacing w:val="-2"/>
          <w:szCs w:val="21"/>
        </w:rPr>
        <w:t>“</w:t>
      </w:r>
      <w:r>
        <w:rPr>
          <w:rFonts w:cs="Times New Roman" w:asciiTheme="minorEastAsia" w:hAnsiTheme="minorEastAsia"/>
          <w:spacing w:val="-2"/>
          <w:szCs w:val="21"/>
        </w:rPr>
        <w:t>社会实践</w:t>
      </w:r>
      <w:r>
        <w:rPr>
          <w:rFonts w:hint="eastAsia" w:cs="Times New Roman" w:asciiTheme="minorEastAsia" w:hAnsiTheme="minorEastAsia"/>
          <w:spacing w:val="-2"/>
          <w:szCs w:val="21"/>
        </w:rPr>
        <w:t>”</w:t>
      </w:r>
      <w:r>
        <w:rPr>
          <w:rFonts w:cs="Times New Roman" w:asciiTheme="minorEastAsia" w:hAnsiTheme="minorEastAsia"/>
          <w:spacing w:val="-2"/>
          <w:szCs w:val="21"/>
        </w:rPr>
        <w:t>活动后，需撰写不少于</w:t>
      </w:r>
      <w:r>
        <w:rPr>
          <w:rFonts w:ascii="Times New Roman" w:hAnsi="Times New Roman" w:cs="Times New Roman"/>
          <w:spacing w:val="-2"/>
          <w:szCs w:val="21"/>
        </w:rPr>
        <w:t>3000</w:t>
      </w:r>
      <w:r>
        <w:rPr>
          <w:rFonts w:cs="Times New Roman" w:asciiTheme="minorEastAsia" w:hAnsiTheme="minorEastAsia"/>
          <w:spacing w:val="-2"/>
          <w:szCs w:val="21"/>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rFonts w:ascii="Times New Roman" w:hAnsi="Times New Roman" w:cs="Times New Roman"/>
          <w:spacing w:val="-2"/>
          <w:szCs w:val="21"/>
        </w:rPr>
        <w:t>1</w:t>
      </w:r>
      <w:r>
        <w:rPr>
          <w:rFonts w:cs="Times New Roman" w:asciiTheme="minorEastAsia" w:hAnsiTheme="minorEastAsia"/>
          <w:spacing w:val="-2"/>
          <w:szCs w:val="21"/>
        </w:rPr>
        <w:t>学分。</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w:t>
      </w:r>
      <w:r>
        <w:rPr>
          <w:rFonts w:ascii="Times New Roman" w:hAnsi="Times New Roman" w:eastAsia="宋体" w:cs="Times New Roman"/>
          <w:b/>
          <w:bCs/>
          <w:szCs w:val="21"/>
        </w:rPr>
        <w:t>两助一辅</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w:t>
      </w:r>
      <w:r>
        <w:rPr>
          <w:rFonts w:cs="Times New Roman" w:asciiTheme="minorEastAsia" w:hAnsiTheme="minorEastAsia"/>
          <w:szCs w:val="21"/>
        </w:rPr>
        <w:t>两助一辅</w:t>
      </w:r>
      <w:r>
        <w:rPr>
          <w:rFonts w:hint="eastAsia" w:cs="Times New Roman" w:asciiTheme="minorEastAsia" w:hAnsiTheme="minorEastAsia"/>
          <w:szCs w:val="21"/>
        </w:rPr>
        <w:t>”</w:t>
      </w:r>
      <w:r>
        <w:rPr>
          <w:rFonts w:cs="Times New Roman" w:asciiTheme="minorEastAsia" w:hAnsiTheme="minorEastAsia"/>
          <w:szCs w:val="21"/>
        </w:rPr>
        <w:t>是指研究生担任助教、助管和辅导员工作，其目的是培养研究生的综合能力，是研究生培养过程的有机组成部分。</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全日制博士研究生在培养过程中必须完成至少一个标准岗位的助教、助管或辅导员工作。该环节纳入学分管理，通过后记</w:t>
      </w:r>
      <w:r>
        <w:rPr>
          <w:rFonts w:ascii="Times New Roman" w:hAnsi="Times New Roman" w:cs="Times New Roman"/>
          <w:szCs w:val="21"/>
        </w:rPr>
        <w:t>2</w:t>
      </w:r>
      <w:r>
        <w:rPr>
          <w:rFonts w:cs="Times New Roman" w:asciiTheme="minorEastAsia" w:hAnsiTheme="minorEastAsia"/>
          <w:szCs w:val="21"/>
        </w:rPr>
        <w:t>学分。</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4</w:t>
      </w:r>
      <w:r>
        <w:rPr>
          <w:rFonts w:hint="eastAsia" w:ascii="Times New Roman" w:hAnsi="Times New Roman" w:eastAsia="宋体" w:cs="Times New Roman"/>
          <w:b/>
          <w:bCs/>
          <w:szCs w:val="21"/>
        </w:rPr>
        <w:t>．</w:t>
      </w:r>
      <w:r>
        <w:rPr>
          <w:rFonts w:ascii="Times New Roman" w:hAnsi="Times New Roman" w:eastAsia="宋体" w:cs="Times New Roman"/>
          <w:b/>
          <w:bCs/>
          <w:szCs w:val="21"/>
        </w:rPr>
        <w:t>基金撰写</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kern w:val="0"/>
          <w:szCs w:val="21"/>
        </w:rPr>
      </w:pPr>
      <w:r>
        <w:rPr>
          <w:rFonts w:hint="eastAsia" w:cs="Times New Roman" w:asciiTheme="minorEastAsia" w:hAnsiTheme="minorEastAsia"/>
          <w:szCs w:val="21"/>
        </w:rPr>
        <w:t>博士</w:t>
      </w:r>
      <w:r>
        <w:rPr>
          <w:rFonts w:cs="Times New Roman" w:asciiTheme="minorEastAsia" w:hAnsiTheme="minorEastAsia"/>
          <w:szCs w:val="21"/>
        </w:rPr>
        <w:t>研究生在学习期间，须在导师指导下，完成一项国家科研基金申请书的撰写，培养博士生申请科研项目的能力，导师同意通过后，记</w:t>
      </w:r>
      <w:r>
        <w:rPr>
          <w:rFonts w:ascii="Times New Roman" w:hAnsi="Times New Roman" w:cs="Times New Roman"/>
          <w:szCs w:val="21"/>
        </w:rPr>
        <w:t>1</w:t>
      </w:r>
      <w:r>
        <w:rPr>
          <w:rFonts w:cs="Times New Roman" w:asciiTheme="minorEastAsia" w:hAnsiTheme="minorEastAsia"/>
          <w:szCs w:val="21"/>
        </w:rPr>
        <w:t>学分。</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5</w:t>
      </w:r>
      <w:r>
        <w:rPr>
          <w:rFonts w:hint="eastAsia" w:ascii="Times New Roman" w:hAnsi="Times New Roman" w:eastAsia="宋体" w:cs="Times New Roman"/>
          <w:b/>
          <w:bCs/>
          <w:szCs w:val="21"/>
        </w:rPr>
        <w:t>．</w:t>
      </w:r>
      <w:r>
        <w:rPr>
          <w:rFonts w:ascii="Times New Roman" w:hAnsi="Times New Roman" w:eastAsia="宋体" w:cs="Times New Roman"/>
          <w:b/>
          <w:bCs/>
          <w:szCs w:val="21"/>
        </w:rPr>
        <w:t>国际化交流</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kern w:val="0"/>
          <w:szCs w:val="21"/>
        </w:rPr>
        <w:t>立足于培养</w:t>
      </w:r>
      <w:r>
        <w:rPr>
          <w:rFonts w:hint="eastAsia" w:cs="Times New Roman" w:asciiTheme="minorEastAsia" w:hAnsiTheme="minorEastAsia"/>
          <w:kern w:val="0"/>
          <w:szCs w:val="21"/>
        </w:rPr>
        <w:t>博士</w:t>
      </w:r>
      <w:r>
        <w:rPr>
          <w:rFonts w:cs="Times New Roman" w:asciiTheme="minorEastAsia" w:hAnsiTheme="minorEastAsia"/>
          <w:kern w:val="0"/>
          <w:szCs w:val="21"/>
        </w:rPr>
        <w:t>研究生的全球化视野，</w:t>
      </w:r>
      <w:r>
        <w:rPr>
          <w:rFonts w:cs="Times New Roman" w:asciiTheme="minorEastAsia" w:hAnsiTheme="minorEastAsia"/>
          <w:szCs w:val="21"/>
        </w:rPr>
        <w:t>研究生在校期间，达到以下条件之一记1学分：</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1</w:t>
      </w:r>
      <w:r>
        <w:rPr>
          <w:rFonts w:cs="Times New Roman" w:asciiTheme="minorEastAsia" w:hAnsiTheme="minorEastAsia"/>
          <w:szCs w:val="21"/>
        </w:rPr>
        <w:t>）</w:t>
      </w:r>
      <w:r>
        <w:rPr>
          <w:rFonts w:hint="eastAsia" w:ascii="Times New Roman" w:hAnsi="Times New Roman" w:cs="Times New Roman"/>
          <w:szCs w:val="21"/>
        </w:rPr>
        <w:t>CSC</w:t>
      </w:r>
      <w:r>
        <w:rPr>
          <w:rFonts w:hint="eastAsia" w:cs="Times New Roman" w:asciiTheme="minorEastAsia" w:hAnsiTheme="minorEastAsia"/>
          <w:szCs w:val="21"/>
        </w:rPr>
        <w:t>项目；</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2</w:t>
      </w:r>
      <w:r>
        <w:rPr>
          <w:rFonts w:cs="Times New Roman" w:asciiTheme="minorEastAsia" w:hAnsiTheme="minorEastAsia"/>
          <w:szCs w:val="21"/>
        </w:rPr>
        <w:t>）</w:t>
      </w:r>
      <w:r>
        <w:rPr>
          <w:rFonts w:hint="eastAsia" w:cs="Times New Roman" w:asciiTheme="minorEastAsia" w:hAnsiTheme="minorEastAsia"/>
          <w:szCs w:val="21"/>
        </w:rPr>
        <w:t>与国（境）外</w:t>
      </w:r>
      <w:r>
        <w:rPr>
          <w:rFonts w:cs="Times New Roman" w:asciiTheme="minorEastAsia" w:hAnsiTheme="minorEastAsia"/>
          <w:szCs w:val="21"/>
        </w:rPr>
        <w:t>联合培养；</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3</w:t>
      </w:r>
      <w:r>
        <w:rPr>
          <w:rFonts w:cs="Times New Roman" w:asciiTheme="minorEastAsia" w:hAnsiTheme="minorEastAsia"/>
          <w:szCs w:val="21"/>
        </w:rPr>
        <w:t>）</w:t>
      </w:r>
      <w:r>
        <w:rPr>
          <w:rFonts w:hint="eastAsia" w:cs="Times New Roman" w:asciiTheme="minorEastAsia" w:hAnsiTheme="minorEastAsia"/>
          <w:szCs w:val="21"/>
        </w:rPr>
        <w:t>国（境）外</w:t>
      </w:r>
      <w:r>
        <w:rPr>
          <w:rFonts w:cs="Times New Roman" w:asciiTheme="minorEastAsia" w:hAnsiTheme="minorEastAsia"/>
          <w:szCs w:val="21"/>
        </w:rPr>
        <w:t>短期出</w:t>
      </w:r>
      <w:r>
        <w:rPr>
          <w:rFonts w:hint="eastAsia" w:cs="Times New Roman" w:asciiTheme="minorEastAsia" w:hAnsiTheme="minorEastAsia"/>
          <w:szCs w:val="21"/>
        </w:rPr>
        <w:t>访、国际组织实习（三个月以上）；</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4</w:t>
      </w:r>
      <w:r>
        <w:rPr>
          <w:rFonts w:cs="Times New Roman" w:asciiTheme="minorEastAsia" w:hAnsiTheme="minorEastAsia"/>
          <w:szCs w:val="21"/>
        </w:rPr>
        <w:t>）国内外举办的</w:t>
      </w:r>
      <w:r>
        <w:rPr>
          <w:rFonts w:hint="eastAsia" w:cs="Times New Roman" w:asciiTheme="minorEastAsia" w:hAnsiTheme="minorEastAsia"/>
          <w:szCs w:val="21"/>
        </w:rPr>
        <w:t>高水平</w:t>
      </w:r>
      <w:r>
        <w:rPr>
          <w:rFonts w:cs="Times New Roman" w:asciiTheme="minorEastAsia" w:hAnsiTheme="minorEastAsia"/>
          <w:szCs w:val="21"/>
        </w:rPr>
        <w:t>国际</w:t>
      </w:r>
      <w:r>
        <w:rPr>
          <w:rFonts w:hint="eastAsia" w:cs="Times New Roman" w:asciiTheme="minorEastAsia" w:hAnsiTheme="minorEastAsia"/>
          <w:szCs w:val="21"/>
        </w:rPr>
        <w:t>学术</w:t>
      </w:r>
      <w:r>
        <w:rPr>
          <w:rFonts w:cs="Times New Roman" w:asciiTheme="minorEastAsia" w:hAnsiTheme="minorEastAsia"/>
          <w:szCs w:val="21"/>
        </w:rPr>
        <w:t>会议（参加、投稿被书面收录、壁报、小组发言、大会发言，均被认可，但需提供详细的书面证明邀请信、参会照片、收录节选、壁报展示及照片、小组发言或大会发言照片等）；</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5</w:t>
      </w:r>
      <w:r>
        <w:rPr>
          <w:rFonts w:ascii="Times New Roman" w:hAnsi="Times New Roman" w:cs="Times New Roman"/>
          <w:szCs w:val="21"/>
        </w:rPr>
        <w:t>）</w:t>
      </w:r>
      <w:r>
        <w:rPr>
          <w:rFonts w:hint="eastAsia" w:cs="Times New Roman" w:asciiTheme="minorEastAsia" w:hAnsiTheme="minorEastAsia"/>
          <w:szCs w:val="21"/>
        </w:rPr>
        <w:t>选修国外高校全英文在线课程（</w:t>
      </w:r>
      <w:r>
        <w:rPr>
          <w:rFonts w:hint="eastAsia" w:ascii="Times New Roman" w:hAnsi="Times New Roman" w:cs="Times New Roman"/>
          <w:szCs w:val="21"/>
        </w:rPr>
        <w:t>MOOC</w:t>
      </w:r>
      <w:r>
        <w:rPr>
          <w:rFonts w:hint="eastAsia" w:cs="Times New Roman" w:asciiTheme="minorEastAsia" w:hAnsiTheme="minorEastAsia"/>
          <w:szCs w:val="21"/>
        </w:rPr>
        <w:t>），并取得合格证书；</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6</w:t>
      </w:r>
      <w:r>
        <w:rPr>
          <w:rFonts w:cs="Times New Roman" w:asciiTheme="minorEastAsia" w:hAnsiTheme="minorEastAsia"/>
          <w:szCs w:val="21"/>
        </w:rPr>
        <w:t>）</w:t>
      </w:r>
      <w:r>
        <w:rPr>
          <w:rFonts w:hint="eastAsia" w:cs="Times New Roman" w:asciiTheme="minorEastAsia" w:hAnsiTheme="minorEastAsia"/>
          <w:szCs w:val="21"/>
        </w:rPr>
        <w:t>参加国际专业竞赛并获奖。</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6．文献</w:t>
      </w:r>
      <w:r>
        <w:rPr>
          <w:rFonts w:ascii="Times New Roman" w:hAnsi="Times New Roman" w:eastAsia="宋体" w:cs="Times New Roman"/>
          <w:b/>
          <w:bCs/>
          <w:szCs w:val="21"/>
        </w:rPr>
        <w:t>阅读</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博士研究生</w:t>
      </w:r>
      <w:r>
        <w:rPr>
          <w:rFonts w:ascii="Times New Roman" w:hAnsi="Times New Roman" w:eastAsia="宋体" w:cs="Times New Roman"/>
          <w:szCs w:val="21"/>
        </w:rPr>
        <w:t>在第</w:t>
      </w:r>
      <w:r>
        <w:rPr>
          <w:rFonts w:hint="eastAsia" w:ascii="Times New Roman" w:hAnsi="Times New Roman" w:eastAsia="宋体" w:cs="Times New Roman"/>
          <w:szCs w:val="21"/>
        </w:rPr>
        <w:t>三</w:t>
      </w:r>
      <w:r>
        <w:rPr>
          <w:rFonts w:ascii="Times New Roman" w:hAnsi="Times New Roman" w:eastAsia="宋体" w:cs="Times New Roman"/>
          <w:szCs w:val="21"/>
        </w:rPr>
        <w:t>学</w:t>
      </w:r>
      <w:r>
        <w:rPr>
          <w:rFonts w:hint="eastAsia" w:ascii="Times New Roman" w:hAnsi="Times New Roman" w:eastAsia="宋体" w:cs="Times New Roman"/>
          <w:szCs w:val="21"/>
        </w:rPr>
        <w:t>期</w:t>
      </w:r>
      <w:r>
        <w:rPr>
          <w:rFonts w:ascii="Times New Roman" w:hAnsi="Times New Roman" w:eastAsia="宋体" w:cs="Times New Roman"/>
          <w:szCs w:val="21"/>
        </w:rPr>
        <w:t>完成</w:t>
      </w:r>
      <w:r>
        <w:rPr>
          <w:rFonts w:hint="eastAsia" w:ascii="Times New Roman" w:hAnsi="Times New Roman" w:eastAsia="宋体" w:cs="Times New Roman"/>
          <w:szCs w:val="21"/>
        </w:rPr>
        <w:t>文献阅读</w:t>
      </w:r>
      <w:r>
        <w:rPr>
          <w:rFonts w:ascii="Times New Roman" w:hAnsi="Times New Roman" w:eastAsia="宋体" w:cs="Times New Roman"/>
          <w:szCs w:val="21"/>
        </w:rPr>
        <w:t>考核</w:t>
      </w:r>
      <w:r>
        <w:rPr>
          <w:rFonts w:hint="eastAsia" w:ascii="Times New Roman" w:hAnsi="Times New Roman" w:eastAsia="宋体" w:cs="Times New Roman"/>
          <w:szCs w:val="21"/>
        </w:rPr>
        <w:t>。</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文献阅读是引领研究生特别是博士生夯实学术根基、迅速进入学科专业研究领域和培养研究生科研素养的重要手段，是课程知识扩展和补充的重要方式。学生入学后</w:t>
      </w:r>
      <w:r>
        <w:rPr>
          <w:rFonts w:ascii="Times New Roman" w:hAnsi="Times New Roman" w:eastAsia="宋体" w:cs="Times New Roman"/>
          <w:szCs w:val="21"/>
        </w:rPr>
        <w:t>结合学科发展和论文研究方向，在导师指导下阅读国内外文献资料。</w:t>
      </w:r>
      <w:r>
        <w:rPr>
          <w:rFonts w:hint="eastAsia" w:ascii="Times New Roman" w:hAnsi="Times New Roman" w:eastAsia="宋体" w:cs="Times New Roman"/>
          <w:szCs w:val="21"/>
        </w:rPr>
        <w:t>考核形式采用提交文献综述形式（要求字数不少于</w:t>
      </w:r>
      <w:r>
        <w:rPr>
          <w:rFonts w:ascii="Times New Roman" w:hAnsi="Times New Roman" w:eastAsia="宋体" w:cs="Times New Roman"/>
          <w:szCs w:val="21"/>
        </w:rPr>
        <w:t>5000</w:t>
      </w:r>
      <w:r>
        <w:rPr>
          <w:rFonts w:hint="eastAsia" w:ascii="Times New Roman" w:hAnsi="Times New Roman" w:eastAsia="宋体" w:cs="Times New Roman"/>
          <w:szCs w:val="21"/>
        </w:rPr>
        <w:t>字，参考文献应包含中文文献和外文文献，综述文献不少于</w:t>
      </w:r>
      <w:r>
        <w:rPr>
          <w:rFonts w:ascii="Times New Roman" w:hAnsi="Times New Roman" w:eastAsia="宋体" w:cs="Times New Roman"/>
          <w:szCs w:val="21"/>
        </w:rPr>
        <w:t>60</w:t>
      </w:r>
      <w:r>
        <w:rPr>
          <w:rFonts w:hint="eastAsia" w:ascii="Times New Roman" w:hAnsi="Times New Roman" w:eastAsia="宋体" w:cs="Times New Roman"/>
          <w:szCs w:val="21"/>
        </w:rPr>
        <w:t>篇），导师签字确认后提交，学院组织评审专家对综述报告的选题、格式、内容以及书面表达能力等进行评审，审核通过者，记</w:t>
      </w:r>
      <w:r>
        <w:rPr>
          <w:rFonts w:ascii="Times New Roman" w:hAnsi="Times New Roman" w:eastAsia="宋体" w:cs="Times New Roman"/>
          <w:szCs w:val="21"/>
        </w:rPr>
        <w:t>2</w:t>
      </w:r>
      <w:r>
        <w:rPr>
          <w:rFonts w:hint="eastAsia" w:ascii="Times New Roman" w:hAnsi="Times New Roman" w:eastAsia="宋体" w:cs="Times New Roman"/>
          <w:szCs w:val="21"/>
        </w:rPr>
        <w:t>学分。审核未通过者，按照专家审核意见完成修改后提交学院进行二次评审。经两次审核都未通过者，不记入学分。考核工作由医学部各学院统一安排。</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文献阅读考核需在博士生中期考核前完成考核。</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7</w:t>
      </w:r>
      <w:r>
        <w:rPr>
          <w:rFonts w:hint="eastAsia" w:ascii="Times New Roman" w:hAnsi="Times New Roman" w:eastAsia="宋体" w:cs="Times New Roman"/>
          <w:b/>
          <w:bCs/>
          <w:szCs w:val="21"/>
        </w:rPr>
        <w:t>．</w:t>
      </w:r>
      <w:r>
        <w:rPr>
          <w:rFonts w:ascii="Times New Roman" w:hAnsi="Times New Roman" w:eastAsia="宋体" w:cs="Times New Roman"/>
          <w:b/>
          <w:bCs/>
          <w:szCs w:val="21"/>
        </w:rPr>
        <w:t>开题报告</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开题报告一般应在第三学期前完成，具体时间由导师或院系决定，并上报学院（系）教学管理部门备案。从开题报告通过至申请论文答辩的时间一般不少于一年。开题报告由医学部各学院（系）组织，应以学术活动的形式在学院（系）内公开进行，并邀请相关教师和研究生参加。各学院（系）邀请本学院督导列席旁听并打分。开题报告评审专家小组由3-5名校内外博士生导师组成（导师及导师团队成员为主体）。考查内容包括：文献综述、选题意义与科学依据、研究基础、研究内容与计划、工作难点及特色、预期成果以及可能产生的创新点、论文选题与学科的匹配度等。经评审通过的开题报告，须以书面形式交医学部人才培养处审核备案。</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8</w:t>
      </w:r>
      <w:r>
        <w:rPr>
          <w:rFonts w:hint="eastAsia" w:ascii="Times New Roman" w:hAnsi="Times New Roman" w:eastAsia="宋体" w:cs="Times New Roman"/>
          <w:b/>
          <w:bCs/>
          <w:szCs w:val="21"/>
        </w:rPr>
        <w:t>．</w:t>
      </w:r>
      <w:r>
        <w:rPr>
          <w:rFonts w:ascii="Times New Roman" w:hAnsi="Times New Roman" w:eastAsia="宋体" w:cs="Times New Roman"/>
          <w:b/>
          <w:bCs/>
          <w:szCs w:val="21"/>
        </w:rPr>
        <w:t>中期考核</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中期考核一般安排在第四学期（贯通培养研究生转为博士生培养后可在第三学期，以直攻博方式进入贯通式培养体系的学生，自第三学年起至第四学年末完成中期考核）进行。中期考核由院系组织，应以学术活动的形式公开进行，考核小组由5-7名本学科或相关学科博士生导师组成。中期考核内容包括：学科基础综合考试（含学科基础文献集阅读）、业务表现与论文工作进展、论文选题与学科的匹配度、综合能力等方面。研究生提交由导师签字的课程成绩、课题研究进展报告等书面材料后，方可参加中期考核。中期考核所有评审材料，须在医学部人才培养处审核备案。</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博士研究生应按时参加中期考核，如有特殊情况需延期参加，须本人申请并获得批准后参加补考核，具体时间由医学部人才培养处确定。</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中期考核具体要求参照《西安交通大学关于博士研究生中期考核的若干规定》（西交研〔2014〕25号）执行。</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研究生的开题报告和中期报告中应包含实验安全风险评估的内容。</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9</w:t>
      </w:r>
      <w:r>
        <w:rPr>
          <w:rFonts w:hint="eastAsia" w:ascii="Times New Roman" w:hAnsi="Times New Roman" w:eastAsia="宋体" w:cs="Times New Roman"/>
          <w:b/>
          <w:bCs/>
          <w:szCs w:val="21"/>
        </w:rPr>
        <w:t>．</w:t>
      </w:r>
      <w:r>
        <w:rPr>
          <w:rFonts w:ascii="Times New Roman" w:hAnsi="Times New Roman" w:eastAsia="宋体" w:cs="Times New Roman"/>
          <w:b/>
          <w:bCs/>
          <w:szCs w:val="21"/>
        </w:rPr>
        <w:t>最终学术报告（预答辩）</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博士研究生完成学位论文后，须在医学部或医学部各院（系）范围内进行公开预答辩，报告自己的研究成果。预答辩专家组由5名本学科或相关学科专家组成，其中至少3人为博士生导师。各学院（系）邀请本学院督导或相关学科专家列席旁听。在预答辩中，须严格审查论文选题的前沿性、理论及现实意义，学位论文是否有独立见解，学位论文的工作量，研究工作的系统性、完整性，论文选题与学科的匹配度等。</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对预答辩中提出的问题，博士研究生应认真修改与补充，填写修改说明表，经导师签字同意并报预答辩专家组组长签字同意后，方可进入论文评阅、答辩环节。对于未获得通过的学位论文，博士研究生应修改后重新进行预答辩。</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对于未获得通过和</w:t>
      </w:r>
      <w:r>
        <w:rPr>
          <w:rFonts w:cs="Times New Roman" w:asciiTheme="minorEastAsia" w:hAnsiTheme="minorEastAsia"/>
          <w:szCs w:val="21"/>
        </w:rPr>
        <w:t>问题较多的学位论文要经过研究生修改后重新组织预答辩。</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预答辩具体参照《西安交通大学学位授予工作暂行办法》（西交研〔2003〕14号）执行。</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b/>
          <w:bCs w:val="0"/>
          <w:szCs w:val="21"/>
        </w:rPr>
      </w:pPr>
      <w:r>
        <w:rPr>
          <w:rFonts w:ascii="Times New Roman" w:hAnsi="Times New Roman" w:eastAsia="宋体"/>
          <w:b/>
          <w:bCs w:val="0"/>
          <w:szCs w:val="21"/>
        </w:rPr>
        <w:t>10.体育、美育、劳动教育</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eastAsia="宋体"/>
          <w:bCs/>
          <w:szCs w:val="21"/>
        </w:rPr>
      </w:pPr>
      <w:r>
        <w:rPr>
          <w:rFonts w:hint="eastAsia" w:ascii="Times New Roman" w:hAnsi="Times New Roman" w:eastAsia="宋体"/>
          <w:bCs/>
          <w:szCs w:val="21"/>
        </w:rPr>
        <w:t>研究生依据当年的体育、美育、劳动教育研修指南，结合个人兴趣爱好和培养计划安排，制定个人体育、美育、劳动教育环节研修计划并开展研修，由体育、美育、劳动教育牵头单位对环节是否“通过”给予认定。</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11</w:t>
      </w:r>
      <w:r>
        <w:rPr>
          <w:rFonts w:hint="eastAsia" w:ascii="Times New Roman" w:hAnsi="Times New Roman" w:eastAsia="宋体" w:cs="Times New Roman"/>
          <w:b/>
          <w:bCs/>
          <w:szCs w:val="21"/>
        </w:rPr>
        <w:t>．</w:t>
      </w:r>
      <w:r>
        <w:rPr>
          <w:rFonts w:ascii="Times New Roman" w:hAnsi="Times New Roman" w:eastAsia="宋体" w:cs="Times New Roman"/>
          <w:b/>
          <w:bCs/>
          <w:szCs w:val="21"/>
        </w:rPr>
        <w:t>学术论文</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博士生应在导师的指导下，根据研究方向确定研究课题，课题需结合国民经济发展需求和学科发展趋势，具有前瞻性和理论价值，达到本学科前沿，博士研究生应独立完成具有一定学术水平和价值的学位论文。论文答辩</w:t>
      </w:r>
      <w:r>
        <w:rPr>
          <w:rFonts w:hint="eastAsia" w:cs="Times New Roman" w:asciiTheme="minorEastAsia" w:hAnsiTheme="minorEastAsia"/>
          <w:szCs w:val="21"/>
        </w:rPr>
        <w:t>具体参照</w:t>
      </w:r>
      <w:r>
        <w:rPr>
          <w:rFonts w:cs="Times New Roman" w:asciiTheme="minorEastAsia" w:hAnsiTheme="minorEastAsia"/>
          <w:szCs w:val="21"/>
        </w:rPr>
        <w:t>《西安交通大学学位授予工作暂行办法》（西交研〔2003〕14号）执行。</w:t>
      </w:r>
    </w:p>
    <w:p>
      <w:pPr>
        <w:spacing w:before="360" w:after="360" w:line="286" w:lineRule="auto"/>
        <w:jc w:val="center"/>
        <w:rPr>
          <w:rFonts w:ascii="楷体_GB2312" w:hAnsi="Times New Roman" w:eastAsia="楷体_GB2312" w:cs="Times New Roman"/>
          <w:b/>
          <w:bCs/>
          <w:sz w:val="28"/>
          <w:szCs w:val="28"/>
        </w:rPr>
      </w:pPr>
      <w:r>
        <w:rPr>
          <w:rFonts w:hint="eastAsia" w:ascii="楷体_GB2312" w:hAnsi="Times New Roman" w:eastAsia="楷体_GB2312" w:cs="Times New Roman"/>
          <w:b/>
          <w:bCs/>
          <w:sz w:val="28"/>
          <w:szCs w:val="28"/>
        </w:rPr>
        <w:t>★</w:t>
      </w:r>
      <w:r>
        <w:rPr>
          <w:rFonts w:ascii="楷体_GB2312" w:hAnsi="Times New Roman" w:eastAsia="楷体_GB2312" w:cs="Times New Roman"/>
          <w:b/>
          <w:bCs/>
          <w:sz w:val="28"/>
          <w:szCs w:val="28"/>
        </w:rPr>
        <w:t>临床医学（1002）攻读博士学位（学术型）研究生培养方案</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80" w:firstLineChars="200"/>
        <w:textAlignment w:val="auto"/>
        <w:rPr>
          <w:rFonts w:ascii="黑体" w:hAnsi="黑体" w:eastAsia="黑体"/>
          <w:sz w:val="24"/>
          <w:szCs w:val="24"/>
        </w:rPr>
      </w:pPr>
      <w:bookmarkStart w:id="150" w:name="_Toc519846392"/>
      <w:bookmarkStart w:id="151" w:name="_Toc520822612"/>
      <w:r>
        <w:rPr>
          <w:rFonts w:hint="eastAsia" w:ascii="黑体" w:hAnsi="黑体" w:eastAsia="黑体"/>
          <w:sz w:val="24"/>
          <w:szCs w:val="24"/>
        </w:rPr>
        <w:t>一</w:t>
      </w:r>
      <w:r>
        <w:rPr>
          <w:rFonts w:ascii="黑体" w:hAnsi="黑体" w:eastAsia="黑体"/>
          <w:sz w:val="24"/>
          <w:szCs w:val="24"/>
        </w:rPr>
        <w:t>、培养目标</w:t>
      </w:r>
      <w:bookmarkEnd w:id="150"/>
      <w:bookmarkEnd w:id="151"/>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秉承“扎根西部、服务国家、区域引领、世界一流”的办学定位，临床医学博士生培养目标为：以科研创新能力培养为主，坚持德智体美劳全面发展，培养造就具有强烈社会责任感的临床医学研究领域德才兼备的高层次创新型人才。具体要求是：</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1. 掌握马克思主义基本原理，学习和贯彻习近平新时代中国特色社会主义思想和系列重要讲话精神，坚定道路自信、理论自信、制度自信、文化自信。热爱祖国，遵纪守法，品德优良，治学严谨，学风端正，有献身于临床医学科学研究的强烈事业心和创新精神。具有健康的体魄和良好的心理素质，愿积极为祖国医学事业发展贡献自己的才智。 </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2. 具有扎实的临床医学基础理论，掌握本学科的专业基本知识和基本技能。能熟练应用各种临床医学数据库，掌握医学文献检索和管理。能熟练地阅读本专业的外文资料，具有一定的外文写作和口语交际能力。</w:t>
      </w:r>
      <w:r>
        <w:rPr>
          <w:rFonts w:cs="Times New Roman" w:asciiTheme="minorEastAsia" w:hAnsiTheme="minorEastAsia"/>
          <w:szCs w:val="21"/>
        </w:rPr>
        <w:t>具有一定</w:t>
      </w:r>
      <w:r>
        <w:rPr>
          <w:rFonts w:hint="eastAsia" w:cs="Times New Roman" w:asciiTheme="minorEastAsia" w:hAnsiTheme="minorEastAsia"/>
          <w:szCs w:val="21"/>
        </w:rPr>
        <w:t>的人文社会科学</w:t>
      </w:r>
      <w:r>
        <w:rPr>
          <w:rFonts w:cs="Times New Roman" w:asciiTheme="minorEastAsia" w:hAnsiTheme="minorEastAsia"/>
          <w:szCs w:val="21"/>
        </w:rPr>
        <w:t>基本知识。</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3.具备主动获取知识的意识和能力，能综合运用临床理论知识和研究手段，开展科学研究。具有科学逻辑思维、</w:t>
      </w:r>
      <w:r>
        <w:rPr>
          <w:rFonts w:hint="eastAsia" w:cs="Times New Roman" w:asciiTheme="minorEastAsia" w:hAnsiTheme="minorEastAsia"/>
          <w:szCs w:val="21"/>
        </w:rPr>
        <w:t>批判思维和较高</w:t>
      </w:r>
      <w:r>
        <w:rPr>
          <w:rFonts w:cs="Times New Roman" w:asciiTheme="minorEastAsia" w:hAnsiTheme="minorEastAsia"/>
          <w:szCs w:val="21"/>
        </w:rPr>
        <w:t>的创新能力，</w:t>
      </w:r>
      <w:r>
        <w:rPr>
          <w:rFonts w:hint="eastAsia" w:ascii="Times New Roman" w:hAnsi="Times New Roman" w:eastAsia="宋体" w:cs="Times New Roman"/>
          <w:szCs w:val="21"/>
        </w:rPr>
        <w:t>能够独立从事临床医学及相关领域科学研究工作。具有较强的语言交流和文字表达能力。</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4. 具有强烈的社会责任感和良好的团队合作精神。具备求实严谨、锐意创新的精神，具备医学人文素养，能够运用其他学科的前沿知识和先进技术来开展交叉融合性的临床科学研究。具有较强管理沟通能力和国际化视野，能够有效利用各种资源提高工作效率。</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p>
    <w:p>
      <w:pPr>
        <w:keepNext w:val="0"/>
        <w:keepLines w:val="0"/>
        <w:pageBreakBefore w:val="0"/>
        <w:widowControl w:val="0"/>
        <w:kinsoku/>
        <w:wordWrap/>
        <w:overflowPunct/>
        <w:topLinePunct w:val="0"/>
        <w:autoSpaceDE/>
        <w:autoSpaceDN/>
        <w:bidi w:val="0"/>
        <w:spacing w:before="95" w:beforeLines="30" w:after="95" w:afterLines="30" w:line="300" w:lineRule="auto"/>
        <w:ind w:firstLine="480" w:firstLineChars="200"/>
        <w:textAlignment w:val="auto"/>
        <w:rPr>
          <w:rFonts w:ascii="黑体" w:hAnsi="黑体" w:eastAsia="黑体"/>
          <w:sz w:val="24"/>
          <w:szCs w:val="24"/>
        </w:rPr>
      </w:pPr>
      <w:bookmarkStart w:id="152" w:name="_Toc519846393"/>
      <w:bookmarkStart w:id="153" w:name="_Toc520822613"/>
      <w:r>
        <w:rPr>
          <w:rFonts w:hint="eastAsia" w:ascii="黑体" w:hAnsi="黑体" w:eastAsia="黑体"/>
          <w:sz w:val="24"/>
          <w:szCs w:val="24"/>
        </w:rPr>
        <w:t>二</w:t>
      </w:r>
      <w:r>
        <w:rPr>
          <w:rFonts w:ascii="黑体" w:hAnsi="黑体" w:eastAsia="黑体"/>
          <w:sz w:val="24"/>
          <w:szCs w:val="24"/>
        </w:rPr>
        <w:t>、研究方向</w:t>
      </w:r>
      <w:bookmarkEnd w:id="152"/>
      <w:bookmarkEnd w:id="153"/>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1．内科学</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11．眼科学</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2．儿科学</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12．耳鼻咽喉科学</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3．老年医学</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13．肿瘤学</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4．神经病学</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14</w:t>
      </w:r>
      <w:r>
        <w:rPr>
          <w:rFonts w:hint="eastAsia" w:ascii="Times New Roman" w:hAnsi="Times New Roman" w:eastAsia="宋体" w:cs="Times New Roman"/>
          <w:szCs w:val="21"/>
        </w:rPr>
        <w:t>．</w:t>
      </w:r>
      <w:r>
        <w:rPr>
          <w:rFonts w:ascii="Times New Roman" w:hAnsi="Times New Roman" w:eastAsia="宋体" w:cs="Times New Roman"/>
          <w:szCs w:val="21"/>
        </w:rPr>
        <w:t>康复医学与理疗学</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5．精神病与精神卫生学</w:t>
      </w:r>
      <w:r>
        <w:rPr>
          <w:rFonts w:hint="eastAsia" w:ascii="Times New Roman" w:hAnsi="Times New Roman" w:eastAsia="宋体" w:cs="Times New Roman"/>
          <w:szCs w:val="21"/>
        </w:rPr>
        <w:t xml:space="preserve">                    </w:t>
      </w:r>
      <w:r>
        <w:rPr>
          <w:rFonts w:ascii="Times New Roman" w:hAnsi="Times New Roman" w:eastAsia="宋体" w:cs="Times New Roman"/>
          <w:szCs w:val="21"/>
        </w:rPr>
        <w:t>15</w:t>
      </w:r>
      <w:r>
        <w:rPr>
          <w:rFonts w:hint="eastAsia" w:ascii="Times New Roman" w:hAnsi="Times New Roman" w:eastAsia="宋体" w:cs="Times New Roman"/>
          <w:szCs w:val="21"/>
        </w:rPr>
        <w:t>．</w:t>
      </w:r>
      <w:r>
        <w:rPr>
          <w:rFonts w:ascii="Times New Roman" w:hAnsi="Times New Roman" w:eastAsia="宋体" w:cs="Times New Roman"/>
          <w:szCs w:val="21"/>
        </w:rPr>
        <w:t>运动医学</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6．皮肤病与性病学</w:t>
      </w:r>
      <w:r>
        <w:rPr>
          <w:rFonts w:hint="eastAsia" w:ascii="Times New Roman" w:hAnsi="Times New Roman" w:eastAsia="宋体" w:cs="Times New Roman"/>
          <w:szCs w:val="21"/>
        </w:rPr>
        <w:t xml:space="preserve">                        </w:t>
      </w:r>
      <w:r>
        <w:rPr>
          <w:rFonts w:ascii="Times New Roman" w:hAnsi="Times New Roman" w:eastAsia="宋体" w:cs="Times New Roman"/>
          <w:szCs w:val="21"/>
        </w:rPr>
        <w:t>16</w:t>
      </w:r>
      <w:r>
        <w:rPr>
          <w:rFonts w:hint="eastAsia" w:ascii="Times New Roman" w:hAnsi="Times New Roman" w:eastAsia="宋体" w:cs="Times New Roman"/>
          <w:szCs w:val="21"/>
        </w:rPr>
        <w:t>．</w:t>
      </w:r>
      <w:r>
        <w:rPr>
          <w:rFonts w:ascii="Times New Roman" w:hAnsi="Times New Roman" w:eastAsia="宋体" w:cs="Times New Roman"/>
          <w:szCs w:val="21"/>
        </w:rPr>
        <w:t>麻醉学</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7．影像医学与核医学</w:t>
      </w:r>
      <w:r>
        <w:rPr>
          <w:rFonts w:hint="eastAsia" w:ascii="Times New Roman" w:hAnsi="Times New Roman" w:eastAsia="宋体" w:cs="Times New Roman"/>
          <w:szCs w:val="21"/>
        </w:rPr>
        <w:t xml:space="preserve">                      </w:t>
      </w:r>
      <w:r>
        <w:rPr>
          <w:rFonts w:ascii="Times New Roman" w:hAnsi="Times New Roman" w:eastAsia="宋体" w:cs="Times New Roman"/>
          <w:szCs w:val="21"/>
        </w:rPr>
        <w:t>17</w:t>
      </w:r>
      <w:r>
        <w:rPr>
          <w:rFonts w:hint="eastAsia" w:ascii="Times New Roman" w:hAnsi="Times New Roman" w:eastAsia="宋体" w:cs="Times New Roman"/>
          <w:szCs w:val="21"/>
        </w:rPr>
        <w:t>．</w:t>
      </w:r>
      <w:r>
        <w:rPr>
          <w:rFonts w:ascii="Times New Roman" w:hAnsi="Times New Roman" w:eastAsia="宋体" w:cs="Times New Roman"/>
          <w:szCs w:val="21"/>
        </w:rPr>
        <w:t>急诊医学</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8．临床检验诊断学</w:t>
      </w:r>
      <w:r>
        <w:rPr>
          <w:rFonts w:hint="eastAsia" w:ascii="Times New Roman" w:hAnsi="Times New Roman" w:eastAsia="宋体" w:cs="Times New Roman"/>
          <w:szCs w:val="21"/>
        </w:rPr>
        <w:t xml:space="preserve">                        18．临床护理学</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9．外科学</w:t>
      </w:r>
      <w:r>
        <w:rPr>
          <w:rFonts w:hint="eastAsia" w:ascii="Times New Roman" w:hAnsi="Times New Roman" w:eastAsia="宋体" w:cs="Times New Roman"/>
          <w:szCs w:val="21"/>
        </w:rPr>
        <w:t xml:space="preserve">                                1</w:t>
      </w:r>
      <w:r>
        <w:rPr>
          <w:rFonts w:ascii="Times New Roman" w:hAnsi="Times New Roman" w:eastAsia="宋体" w:cs="Times New Roman"/>
          <w:szCs w:val="21"/>
        </w:rPr>
        <w:t xml:space="preserve">9. </w:t>
      </w:r>
      <w:r>
        <w:rPr>
          <w:rFonts w:hint="eastAsia" w:ascii="Times New Roman" w:hAnsi="Times New Roman" w:eastAsia="宋体" w:cs="Times New Roman"/>
          <w:szCs w:val="21"/>
        </w:rPr>
        <w:t>医工交叉</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10．妇产科学</w:t>
      </w:r>
      <w:r>
        <w:rPr>
          <w:rFonts w:hint="eastAsia" w:ascii="Times New Roman" w:hAnsi="Times New Roman" w:eastAsia="宋体" w:cs="Times New Roman"/>
          <w:szCs w:val="21"/>
        </w:rPr>
        <w:t xml:space="preserve">                            </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80" w:firstLineChars="200"/>
        <w:textAlignment w:val="auto"/>
        <w:rPr>
          <w:rFonts w:ascii="黑体" w:hAnsi="黑体" w:eastAsia="黑体"/>
          <w:sz w:val="24"/>
          <w:szCs w:val="24"/>
        </w:rPr>
      </w:pPr>
      <w:bookmarkStart w:id="154" w:name="_Toc519846394"/>
      <w:bookmarkStart w:id="155" w:name="_Toc520822614"/>
      <w:r>
        <w:rPr>
          <w:rFonts w:hint="eastAsia" w:ascii="黑体" w:hAnsi="黑体" w:eastAsia="黑体"/>
          <w:sz w:val="24"/>
          <w:szCs w:val="24"/>
        </w:rPr>
        <w:t>三</w:t>
      </w:r>
      <w:r>
        <w:rPr>
          <w:rFonts w:ascii="黑体" w:hAnsi="黑体" w:eastAsia="黑体"/>
          <w:sz w:val="24"/>
          <w:szCs w:val="24"/>
        </w:rPr>
        <w:t>、学习年限</w:t>
      </w:r>
      <w:bookmarkEnd w:id="154"/>
      <w:bookmarkEnd w:id="155"/>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本专业博士生的学习年限一般为3-5年，第一学年学习专业基础理论，掌握进行科研所必需的基本技能并写出文献综述。从第二年开始，在导师指导下进入课题研究和学位论文准备阶段。从事课题研究工作（开题、实验设计、实验操作、数据处理、结果分析总结、论文撰写等）的时间不得少于2年。</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80" w:firstLineChars="200"/>
        <w:textAlignment w:val="auto"/>
        <w:rPr>
          <w:rFonts w:ascii="黑体" w:hAnsi="黑体" w:eastAsia="黑体"/>
          <w:sz w:val="24"/>
          <w:szCs w:val="24"/>
        </w:rPr>
      </w:pPr>
      <w:bookmarkStart w:id="156" w:name="_Toc519846395"/>
      <w:bookmarkStart w:id="157" w:name="_Toc520822615"/>
      <w:r>
        <w:rPr>
          <w:rFonts w:hint="eastAsia" w:ascii="黑体" w:hAnsi="黑体" w:eastAsia="黑体"/>
          <w:sz w:val="24"/>
          <w:szCs w:val="24"/>
        </w:rPr>
        <w:t>四</w:t>
      </w:r>
      <w:r>
        <w:rPr>
          <w:rFonts w:ascii="黑体" w:hAnsi="黑体" w:eastAsia="黑体"/>
          <w:sz w:val="24"/>
          <w:szCs w:val="24"/>
        </w:rPr>
        <w:t>、培养方式</w:t>
      </w:r>
      <w:bookmarkEnd w:id="156"/>
      <w:bookmarkEnd w:id="157"/>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bookmarkStart w:id="158" w:name="_Toc520822616"/>
      <w:bookmarkStart w:id="159" w:name="_Toc519846396"/>
      <w:r>
        <w:rPr>
          <w:rFonts w:ascii="Times New Roman" w:hAnsi="Times New Roman" w:cs="Times New Roman"/>
          <w:szCs w:val="21"/>
        </w:rPr>
        <w:t>1</w:t>
      </w:r>
      <w:r>
        <w:rPr>
          <w:rFonts w:ascii="Times New Roman" w:hAnsi="Times New Roman" w:eastAsia="宋体" w:cs="Times New Roman"/>
          <w:szCs w:val="21"/>
        </w:rPr>
        <w:t>．</w:t>
      </w:r>
      <w:r>
        <w:rPr>
          <w:rFonts w:cs="Times New Roman" w:asciiTheme="minorEastAsia" w:hAnsiTheme="minorEastAsia"/>
          <w:szCs w:val="21"/>
        </w:rPr>
        <w:t>导师小组联合指导，导师负责制。各系、中心应成立以博士生导师为</w:t>
      </w:r>
      <w:r>
        <w:rPr>
          <w:rFonts w:ascii="Times New Roman" w:hAnsi="Times New Roman" w:cs="Times New Roman"/>
          <w:szCs w:val="21"/>
        </w:rPr>
        <w:t>主5</w:t>
      </w:r>
      <w:r>
        <w:rPr>
          <w:rFonts w:cs="Times New Roman" w:asciiTheme="minorEastAsia" w:hAnsiTheme="minorEastAsia"/>
          <w:szCs w:val="21"/>
        </w:rPr>
        <w:t>人指导小组及课题小组的有关成员，共同协助搞好</w:t>
      </w:r>
      <w:r>
        <w:rPr>
          <w:rFonts w:hint="eastAsia" w:cs="Times New Roman" w:asciiTheme="minorEastAsia" w:hAnsiTheme="minorEastAsia"/>
          <w:szCs w:val="21"/>
        </w:rPr>
        <w:t>博士</w:t>
      </w:r>
      <w:r>
        <w:rPr>
          <w:rFonts w:cs="Times New Roman" w:asciiTheme="minorEastAsia" w:hAnsiTheme="minorEastAsia"/>
          <w:szCs w:val="21"/>
        </w:rPr>
        <w:t>研究生的培养工作。</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2</w:t>
      </w:r>
      <w:r>
        <w:rPr>
          <w:rFonts w:ascii="Times New Roman" w:hAnsi="Times New Roman" w:eastAsia="宋体" w:cs="Times New Roman"/>
          <w:szCs w:val="21"/>
        </w:rPr>
        <w:t>．</w:t>
      </w:r>
      <w:r>
        <w:rPr>
          <w:rFonts w:cs="Times New Roman" w:asciiTheme="minorEastAsia" w:hAnsiTheme="minorEastAsia"/>
          <w:szCs w:val="21"/>
        </w:rPr>
        <w:t>课程学习要满足需要的学分；课程包括本专业的基础和前沿课程和开展自己研究工作的必要知识和技术，可采用上课、学术报告、国际交流、讨论等方式。</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3</w:t>
      </w:r>
      <w:r>
        <w:rPr>
          <w:rFonts w:ascii="Times New Roman" w:hAnsi="Times New Roman" w:eastAsia="宋体" w:cs="Times New Roman"/>
          <w:szCs w:val="21"/>
        </w:rPr>
        <w:t>．</w:t>
      </w:r>
      <w:r>
        <w:rPr>
          <w:rFonts w:cs="Times New Roman" w:asciiTheme="minorEastAsia" w:hAnsiTheme="minorEastAsia"/>
          <w:szCs w:val="21"/>
        </w:rPr>
        <w:t>积极鼓励学生参加会议、讲座等，展丰富多彩的科研活动，营造浓郁的科研氛围，提升学生的科研兴趣，增强学生解决重大科学问题的动力。</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4</w:t>
      </w:r>
      <w:r>
        <w:rPr>
          <w:rFonts w:ascii="Times New Roman" w:hAnsi="Times New Roman" w:eastAsia="宋体" w:cs="Times New Roman"/>
          <w:szCs w:val="21"/>
        </w:rPr>
        <w:t>．</w:t>
      </w:r>
      <w:r>
        <w:rPr>
          <w:rFonts w:cs="Times New Roman" w:asciiTheme="minorEastAsia" w:hAnsiTheme="minorEastAsia"/>
          <w:szCs w:val="21"/>
        </w:rPr>
        <w:t>通过课题组、院系的科研汇报会、文献阅读会、小组讨论会，个别指导等形式，逐步强化学生的科研创新能力。</w:t>
      </w:r>
    </w:p>
    <w:p>
      <w:pPr>
        <w:keepNext w:val="0"/>
        <w:keepLines w:val="0"/>
        <w:pageBreakBefore w:val="0"/>
        <w:widowControl w:val="0"/>
        <w:tabs>
          <w:tab w:val="left" w:pos="3900"/>
        </w:tabs>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5</w:t>
      </w:r>
      <w:r>
        <w:rPr>
          <w:rFonts w:ascii="Times New Roman" w:hAnsi="Times New Roman" w:eastAsia="宋体" w:cs="Times New Roman"/>
          <w:szCs w:val="21"/>
        </w:rPr>
        <w:t>．</w:t>
      </w:r>
      <w:r>
        <w:rPr>
          <w:rFonts w:cs="Times New Roman" w:asciiTheme="minorEastAsia" w:hAnsiTheme="minorEastAsia"/>
          <w:szCs w:val="21"/>
        </w:rPr>
        <w:t>加强培养期间的过程管理，第一学年学习专业基础理论，掌握进行科研所必需的基本技能并写出文献综述。从第二年开始在导师指导下进入课题研究和学位论文准备阶段。</w:t>
      </w:r>
      <w:r>
        <w:rPr>
          <w:rFonts w:hint="eastAsia" w:cs="Times New Roman" w:asciiTheme="minorEastAsia" w:hAnsiTheme="minorEastAsia"/>
          <w:szCs w:val="21"/>
        </w:rPr>
        <w:t>博士生</w:t>
      </w:r>
      <w:r>
        <w:rPr>
          <w:rFonts w:cs="Times New Roman" w:asciiTheme="minorEastAsia" w:hAnsiTheme="minorEastAsia"/>
          <w:szCs w:val="21"/>
        </w:rPr>
        <w:t>应在第第四学年末完成博士中期考核。</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80" w:firstLineChars="200"/>
        <w:textAlignment w:val="auto"/>
        <w:rPr>
          <w:rFonts w:ascii="黑体" w:hAnsi="黑体" w:eastAsia="黑体"/>
          <w:sz w:val="24"/>
          <w:szCs w:val="24"/>
        </w:rPr>
      </w:pPr>
      <w:r>
        <w:rPr>
          <w:rFonts w:ascii="黑体" w:hAnsi="黑体" w:eastAsia="黑体"/>
          <w:sz w:val="24"/>
          <w:szCs w:val="24"/>
        </w:rPr>
        <w:t>五、课程设置及学分要求</w:t>
      </w:r>
      <w:bookmarkEnd w:id="158"/>
      <w:bookmarkEnd w:id="159"/>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本学科学术型培养方案共需修满</w:t>
      </w:r>
      <w:r>
        <w:rPr>
          <w:rFonts w:cs="Times New Roman" w:asciiTheme="minorEastAsia" w:hAnsiTheme="minorEastAsia"/>
          <w:szCs w:val="21"/>
        </w:rPr>
        <w:t>27</w:t>
      </w:r>
      <w:r>
        <w:rPr>
          <w:rFonts w:hint="eastAsia" w:cs="Times New Roman" w:asciiTheme="minorEastAsia" w:hAnsiTheme="minorEastAsia"/>
          <w:szCs w:val="21"/>
        </w:rPr>
        <w:t>学分，其中课程学习</w:t>
      </w:r>
      <w:r>
        <w:rPr>
          <w:rFonts w:cs="Times New Roman" w:asciiTheme="minorEastAsia" w:hAnsiTheme="minorEastAsia"/>
          <w:szCs w:val="21"/>
        </w:rPr>
        <w:t>10</w:t>
      </w:r>
      <w:r>
        <w:rPr>
          <w:rFonts w:hint="eastAsia" w:cs="Times New Roman" w:asciiTheme="minorEastAsia" w:hAnsiTheme="minorEastAsia"/>
          <w:szCs w:val="21"/>
        </w:rPr>
        <w:t>学分，必修环节</w:t>
      </w:r>
      <w:r>
        <w:rPr>
          <w:rFonts w:cs="Times New Roman" w:asciiTheme="minorEastAsia" w:hAnsiTheme="minorEastAsia"/>
          <w:szCs w:val="21"/>
        </w:rPr>
        <w:t>17学分</w:t>
      </w:r>
      <w:r>
        <w:rPr>
          <w:rFonts w:hint="eastAsia" w:cs="Times New Roman" w:asciiTheme="minorEastAsia" w:hAnsiTheme="minorEastAsia"/>
          <w:szCs w:val="21"/>
        </w:rPr>
        <w:t>。</w:t>
      </w:r>
      <w:r>
        <w:rPr>
          <w:rFonts w:cs="Times New Roman" w:asciiTheme="minorEastAsia" w:hAnsiTheme="minorEastAsia"/>
          <w:szCs w:val="21"/>
        </w:rPr>
        <w:t>课程学习包括：学位课6学分，选修课4学分。</w:t>
      </w:r>
    </w:p>
    <w:tbl>
      <w:tblPr>
        <w:tblStyle w:val="37"/>
        <w:tblW w:w="487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32"/>
        <w:gridCol w:w="522"/>
        <w:gridCol w:w="1105"/>
        <w:gridCol w:w="1407"/>
        <w:gridCol w:w="2582"/>
        <w:gridCol w:w="528"/>
        <w:gridCol w:w="10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 w:hRule="atLeast"/>
          <w:tblHeader/>
        </w:trPr>
        <w:tc>
          <w:tcPr>
            <w:tcW w:w="9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05" w:right="-105"/>
              <w:jc w:val="center"/>
              <w:textAlignment w:val="auto"/>
              <w:rPr>
                <w:rFonts w:ascii="Times New Roman" w:hAnsi="Times New Roman" w:eastAsia="宋体" w:cs="Times New Roman"/>
                <w:b/>
                <w:bCs/>
                <w:szCs w:val="21"/>
              </w:rPr>
            </w:pPr>
            <w:bookmarkStart w:id="160" w:name="_Toc520822617"/>
            <w:bookmarkStart w:id="161" w:name="_Toc519846397"/>
            <w:r>
              <w:rPr>
                <w:rFonts w:hint="eastAsia" w:ascii="宋体" w:hAnsi="Times New Roman" w:eastAsia="宋体" w:cs="宋体"/>
                <w:b/>
                <w:bCs/>
                <w:szCs w:val="21"/>
                <w:lang w:val="zh-CN"/>
              </w:rPr>
              <w:t>课程性质</w:t>
            </w: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05" w:right="-105"/>
              <w:jc w:val="center"/>
              <w:textAlignment w:val="auto"/>
              <w:rPr>
                <w:rFonts w:ascii="Times New Roman" w:hAnsi="Times New Roman" w:eastAsia="宋体" w:cs="Times New Roman"/>
                <w:b/>
                <w:bCs/>
                <w:szCs w:val="21"/>
              </w:rPr>
            </w:pPr>
            <w:r>
              <w:rPr>
                <w:rFonts w:hint="eastAsia" w:ascii="宋体" w:hAnsi="Times New Roman" w:eastAsia="宋体" w:cs="宋体"/>
                <w:b/>
                <w:bCs/>
                <w:szCs w:val="21"/>
                <w:lang w:val="zh-CN"/>
              </w:rPr>
              <w:t>序号</w:t>
            </w:r>
          </w:p>
        </w:tc>
        <w:tc>
          <w:tcPr>
            <w:tcW w:w="6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05" w:right="-105"/>
              <w:jc w:val="center"/>
              <w:textAlignment w:val="auto"/>
              <w:rPr>
                <w:rFonts w:ascii="宋体" w:hAnsi="Times New Roman" w:eastAsia="宋体" w:cs="宋体"/>
                <w:b/>
                <w:bCs/>
                <w:szCs w:val="21"/>
                <w:lang w:val="zh-CN"/>
              </w:rPr>
            </w:pPr>
            <w:r>
              <w:rPr>
                <w:rFonts w:hint="eastAsia" w:ascii="宋体" w:hAnsi="Times New Roman" w:eastAsia="宋体" w:cs="宋体"/>
                <w:b/>
                <w:bCs/>
                <w:szCs w:val="21"/>
                <w:lang w:val="zh-CN"/>
              </w:rPr>
              <w:t>课程编号</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05" w:right="-105"/>
              <w:jc w:val="center"/>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统一编码</w:t>
            </w:r>
          </w:p>
        </w:tc>
        <w:tc>
          <w:tcPr>
            <w:tcW w:w="1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05" w:right="-105"/>
              <w:jc w:val="center"/>
              <w:textAlignment w:val="auto"/>
              <w:rPr>
                <w:rFonts w:ascii="Times New Roman" w:hAnsi="Times New Roman" w:eastAsia="宋体" w:cs="Times New Roman"/>
                <w:b/>
                <w:bCs/>
                <w:szCs w:val="21"/>
              </w:rPr>
            </w:pPr>
            <w:r>
              <w:rPr>
                <w:rFonts w:hint="eastAsia" w:ascii="宋体" w:hAnsi="Times New Roman" w:eastAsia="宋体" w:cs="宋体"/>
                <w:b/>
                <w:bCs/>
                <w:szCs w:val="21"/>
                <w:lang w:val="zh-CN"/>
              </w:rPr>
              <w:t>课程名称</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05" w:right="-105"/>
              <w:jc w:val="center"/>
              <w:textAlignment w:val="auto"/>
              <w:rPr>
                <w:rFonts w:ascii="Times New Roman" w:hAnsi="Times New Roman" w:eastAsia="宋体" w:cs="Times New Roman"/>
                <w:b/>
                <w:bCs/>
                <w:szCs w:val="21"/>
              </w:rPr>
            </w:pPr>
            <w:r>
              <w:rPr>
                <w:rFonts w:hint="eastAsia" w:ascii="宋体" w:hAnsi="Times New Roman" w:eastAsia="宋体" w:cs="宋体"/>
                <w:b/>
                <w:bCs/>
                <w:szCs w:val="21"/>
                <w:lang w:val="zh-CN"/>
              </w:rPr>
              <w:t>学分</w:t>
            </w:r>
          </w:p>
        </w:tc>
        <w:tc>
          <w:tcPr>
            <w:tcW w:w="594" w:type="pct"/>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ind w:left="-105" w:right="-105"/>
              <w:jc w:val="center"/>
              <w:textAlignment w:val="auto"/>
              <w:rPr>
                <w:rFonts w:ascii="Times New Roman" w:hAnsi="Times New Roman" w:eastAsia="宋体" w:cs="Times New Roman"/>
                <w:b/>
                <w:bCs/>
                <w:szCs w:val="21"/>
              </w:rPr>
            </w:pPr>
            <w:r>
              <w:rPr>
                <w:rFonts w:hint="eastAsia" w:ascii="宋体" w:hAnsi="Times New Roman" w:eastAsia="宋体" w:cs="宋体"/>
                <w:b/>
                <w:bCs/>
                <w:szCs w:val="21"/>
                <w:lang w:val="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hint="eastAsia" w:ascii="宋体" w:hAnsi="Times New Roman" w:eastAsia="宋体" w:cs="宋体"/>
                <w:szCs w:val="21"/>
                <w:lang w:val="zh-CN"/>
              </w:rPr>
              <w:t>公共学位课</w:t>
            </w: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1</w:t>
            </w:r>
          </w:p>
        </w:tc>
        <w:tc>
          <w:tcPr>
            <w:tcW w:w="6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141006</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MLMD600114</w:t>
            </w:r>
          </w:p>
        </w:tc>
        <w:tc>
          <w:tcPr>
            <w:tcW w:w="1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szCs w:val="21"/>
              </w:rPr>
            </w:pPr>
            <w:r>
              <w:rPr>
                <w:rFonts w:hint="eastAsia" w:ascii="宋体" w:hAnsi="Times New Roman" w:eastAsia="宋体" w:cs="宋体"/>
                <w:szCs w:val="21"/>
                <w:lang w:val="zh-CN"/>
              </w:rPr>
              <w:t>中国马克思主义与当代</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594" w:type="pct"/>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2学分</w:t>
            </w:r>
          </w:p>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（必修）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5"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hint="eastAsia" w:ascii="宋体" w:hAnsi="Times New Roman" w:eastAsia="宋体" w:cs="宋体"/>
                <w:szCs w:val="21"/>
                <w:lang w:val="zh-CN"/>
              </w:rPr>
              <w:t>学科学位课</w:t>
            </w: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w:t>
            </w:r>
          </w:p>
        </w:tc>
        <w:tc>
          <w:tcPr>
            <w:tcW w:w="6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152078</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BASM611815</w:t>
            </w:r>
          </w:p>
        </w:tc>
        <w:tc>
          <w:tcPr>
            <w:tcW w:w="1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szCs w:val="21"/>
              </w:rPr>
            </w:pPr>
            <w:r>
              <w:rPr>
                <w:rFonts w:hint="eastAsia" w:ascii="宋体" w:hAnsi="Times New Roman" w:eastAsia="宋体" w:cs="宋体"/>
                <w:szCs w:val="21"/>
                <w:lang w:val="zh-CN"/>
              </w:rPr>
              <w:t>诺贝尔奖论文剖析</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594" w:type="pct"/>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2学分</w:t>
            </w:r>
          </w:p>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（必修）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w:t>
            </w:r>
          </w:p>
        </w:tc>
        <w:tc>
          <w:tcPr>
            <w:tcW w:w="6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152102</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CLIM710815</w:t>
            </w:r>
          </w:p>
        </w:tc>
        <w:tc>
          <w:tcPr>
            <w:tcW w:w="1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szCs w:val="21"/>
              </w:rPr>
            </w:pPr>
            <w:r>
              <w:rPr>
                <w:rFonts w:hint="eastAsia" w:ascii="宋体" w:hAnsi="Times New Roman" w:eastAsia="宋体" w:cs="宋体"/>
                <w:szCs w:val="21"/>
                <w:lang w:val="zh-CN"/>
              </w:rPr>
              <w:t>内科学（</w:t>
            </w:r>
            <w:r>
              <w:rPr>
                <w:rFonts w:ascii="Times New Roman" w:hAnsi="Times New Roman" w:eastAsia="宋体" w:cs="Times New Roman"/>
                <w:szCs w:val="21"/>
              </w:rPr>
              <w:t>2</w:t>
            </w:r>
            <w:r>
              <w:rPr>
                <w:rFonts w:hint="eastAsia" w:ascii="宋体" w:hAnsi="Times New Roman" w:eastAsia="宋体" w:cs="宋体"/>
                <w:szCs w:val="21"/>
                <w:lang w:val="zh-CN"/>
              </w:rPr>
              <w:t>）</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594" w:type="pct"/>
            <w:vMerge w:val="restart"/>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p>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p>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p>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p>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p>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p>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hint="eastAsia" w:ascii="宋体" w:hAnsi="Times New Roman" w:eastAsia="宋体" w:cs="宋体"/>
                <w:szCs w:val="21"/>
                <w:lang w:val="zh-CN"/>
              </w:rPr>
              <w:t>根据学生的专业选修</w:t>
            </w:r>
            <w:r>
              <w:rPr>
                <w:rFonts w:ascii="Times New Roman" w:hAnsi="Times New Roman" w:eastAsia="宋体" w:cs="Times New Roman"/>
                <w:szCs w:val="21"/>
              </w:rPr>
              <w:t>2</w:t>
            </w:r>
            <w:r>
              <w:rPr>
                <w:rFonts w:hint="eastAsia" w:ascii="宋体" w:hAnsi="Times New Roman" w:eastAsia="宋体" w:cs="宋体"/>
                <w:szCs w:val="21"/>
                <w:lang w:val="zh-CN"/>
              </w:rPr>
              <w:t>学分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szCs w:val="21"/>
              </w:rPr>
            </w:pP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6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152105</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CLIM711115</w:t>
            </w:r>
          </w:p>
        </w:tc>
        <w:tc>
          <w:tcPr>
            <w:tcW w:w="1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szCs w:val="21"/>
              </w:rPr>
            </w:pPr>
            <w:r>
              <w:rPr>
                <w:rFonts w:hint="eastAsia" w:ascii="宋体" w:hAnsi="Times New Roman" w:eastAsia="宋体" w:cs="宋体"/>
                <w:szCs w:val="21"/>
                <w:lang w:val="zh-CN"/>
              </w:rPr>
              <w:t>儿科学（</w:t>
            </w:r>
            <w:r>
              <w:rPr>
                <w:rFonts w:ascii="Times New Roman" w:hAnsi="Times New Roman" w:eastAsia="宋体" w:cs="Times New Roman"/>
                <w:szCs w:val="21"/>
              </w:rPr>
              <w:t>2</w:t>
            </w:r>
            <w:r>
              <w:rPr>
                <w:rFonts w:hint="eastAsia" w:ascii="宋体" w:hAnsi="Times New Roman" w:eastAsia="宋体" w:cs="宋体"/>
                <w:szCs w:val="21"/>
                <w:lang w:val="zh-CN"/>
              </w:rPr>
              <w:t>）</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594" w:type="pct"/>
            <w:vMerge w:val="continue"/>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szCs w:val="21"/>
              </w:rPr>
            </w:pP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3</w:t>
            </w:r>
          </w:p>
        </w:tc>
        <w:tc>
          <w:tcPr>
            <w:tcW w:w="6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152130</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CLIM711715</w:t>
            </w:r>
          </w:p>
        </w:tc>
        <w:tc>
          <w:tcPr>
            <w:tcW w:w="1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szCs w:val="21"/>
              </w:rPr>
            </w:pPr>
            <w:r>
              <w:rPr>
                <w:rFonts w:hint="eastAsia" w:ascii="宋体" w:hAnsi="Times New Roman" w:eastAsia="宋体" w:cs="宋体"/>
                <w:szCs w:val="21"/>
                <w:lang w:val="zh-CN"/>
              </w:rPr>
              <w:t>老年医学（</w:t>
            </w:r>
            <w:r>
              <w:rPr>
                <w:rFonts w:ascii="Times New Roman" w:hAnsi="Times New Roman" w:eastAsia="宋体" w:cs="Times New Roman"/>
                <w:szCs w:val="21"/>
              </w:rPr>
              <w:t>2</w:t>
            </w:r>
            <w:r>
              <w:rPr>
                <w:rFonts w:hint="eastAsia" w:ascii="宋体" w:hAnsi="Times New Roman" w:eastAsia="宋体" w:cs="宋体"/>
                <w:szCs w:val="21"/>
                <w:lang w:val="zh-CN"/>
              </w:rPr>
              <w:t>）</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594" w:type="pct"/>
            <w:vMerge w:val="continue"/>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szCs w:val="21"/>
              </w:rPr>
            </w:pP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4</w:t>
            </w:r>
          </w:p>
        </w:tc>
        <w:tc>
          <w:tcPr>
            <w:tcW w:w="6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152104</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CLIM711015</w:t>
            </w:r>
          </w:p>
        </w:tc>
        <w:tc>
          <w:tcPr>
            <w:tcW w:w="1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szCs w:val="21"/>
              </w:rPr>
            </w:pPr>
            <w:r>
              <w:rPr>
                <w:rFonts w:hint="eastAsia" w:ascii="宋体" w:hAnsi="Times New Roman" w:eastAsia="宋体" w:cs="宋体"/>
                <w:szCs w:val="21"/>
                <w:lang w:val="zh-CN"/>
              </w:rPr>
              <w:t>神经病学（</w:t>
            </w:r>
            <w:r>
              <w:rPr>
                <w:rFonts w:ascii="Times New Roman" w:hAnsi="Times New Roman" w:eastAsia="宋体" w:cs="Times New Roman"/>
                <w:szCs w:val="21"/>
              </w:rPr>
              <w:t>2</w:t>
            </w:r>
            <w:r>
              <w:rPr>
                <w:rFonts w:hint="eastAsia" w:ascii="宋体" w:hAnsi="Times New Roman" w:eastAsia="宋体" w:cs="宋体"/>
                <w:szCs w:val="21"/>
                <w:lang w:val="zh-CN"/>
              </w:rPr>
              <w:t>）</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594" w:type="pct"/>
            <w:vMerge w:val="continue"/>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szCs w:val="21"/>
              </w:rPr>
            </w:pP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5</w:t>
            </w:r>
          </w:p>
        </w:tc>
        <w:tc>
          <w:tcPr>
            <w:tcW w:w="6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152108</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CLIM711315</w:t>
            </w:r>
          </w:p>
        </w:tc>
        <w:tc>
          <w:tcPr>
            <w:tcW w:w="1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szCs w:val="21"/>
              </w:rPr>
            </w:pPr>
            <w:r>
              <w:rPr>
                <w:rFonts w:hint="eastAsia" w:ascii="宋体" w:hAnsi="Times New Roman" w:eastAsia="宋体" w:cs="宋体"/>
                <w:szCs w:val="21"/>
                <w:lang w:val="zh-CN"/>
              </w:rPr>
              <w:t>精神病与精神卫生学（</w:t>
            </w:r>
            <w:r>
              <w:rPr>
                <w:rFonts w:ascii="Times New Roman" w:hAnsi="Times New Roman" w:eastAsia="宋体" w:cs="Times New Roman"/>
                <w:szCs w:val="21"/>
              </w:rPr>
              <w:t>2</w:t>
            </w:r>
            <w:r>
              <w:rPr>
                <w:rFonts w:hint="eastAsia" w:ascii="宋体" w:hAnsi="Times New Roman" w:eastAsia="宋体" w:cs="宋体"/>
                <w:szCs w:val="21"/>
                <w:lang w:val="zh-CN"/>
              </w:rPr>
              <w:t>）</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594" w:type="pct"/>
            <w:vMerge w:val="continue"/>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szCs w:val="21"/>
              </w:rPr>
            </w:pP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6</w:t>
            </w:r>
          </w:p>
        </w:tc>
        <w:tc>
          <w:tcPr>
            <w:tcW w:w="6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152103</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CLIM710915</w:t>
            </w:r>
          </w:p>
        </w:tc>
        <w:tc>
          <w:tcPr>
            <w:tcW w:w="1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szCs w:val="21"/>
              </w:rPr>
            </w:pPr>
            <w:r>
              <w:rPr>
                <w:rFonts w:hint="eastAsia" w:ascii="宋体" w:hAnsi="Times New Roman" w:eastAsia="宋体" w:cs="宋体"/>
                <w:szCs w:val="21"/>
                <w:lang w:val="zh-CN"/>
              </w:rPr>
              <w:t>皮肤病与性病学（</w:t>
            </w:r>
            <w:r>
              <w:rPr>
                <w:rFonts w:ascii="Times New Roman" w:hAnsi="Times New Roman" w:eastAsia="宋体" w:cs="Times New Roman"/>
                <w:szCs w:val="21"/>
              </w:rPr>
              <w:t>2</w:t>
            </w:r>
            <w:r>
              <w:rPr>
                <w:rFonts w:hint="eastAsia" w:ascii="宋体" w:hAnsi="Times New Roman" w:eastAsia="宋体" w:cs="宋体"/>
                <w:szCs w:val="21"/>
                <w:lang w:val="zh-CN"/>
              </w:rPr>
              <w:t>）</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594" w:type="pct"/>
            <w:vMerge w:val="continue"/>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szCs w:val="21"/>
              </w:rPr>
            </w:pP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7</w:t>
            </w:r>
          </w:p>
        </w:tc>
        <w:tc>
          <w:tcPr>
            <w:tcW w:w="6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152109</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CLIM711415</w:t>
            </w:r>
          </w:p>
        </w:tc>
        <w:tc>
          <w:tcPr>
            <w:tcW w:w="1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szCs w:val="21"/>
              </w:rPr>
            </w:pPr>
            <w:r>
              <w:rPr>
                <w:rFonts w:hint="eastAsia" w:ascii="宋体" w:hAnsi="Times New Roman" w:eastAsia="宋体" w:cs="宋体"/>
                <w:szCs w:val="21"/>
                <w:lang w:val="zh-CN"/>
              </w:rPr>
              <w:t>影像医学与核医学（</w:t>
            </w:r>
            <w:r>
              <w:rPr>
                <w:rFonts w:ascii="Times New Roman" w:hAnsi="Times New Roman" w:eastAsia="宋体" w:cs="Times New Roman"/>
                <w:szCs w:val="21"/>
              </w:rPr>
              <w:t>2</w:t>
            </w:r>
            <w:r>
              <w:rPr>
                <w:rFonts w:hint="eastAsia" w:ascii="宋体" w:hAnsi="Times New Roman" w:eastAsia="宋体" w:cs="宋体"/>
                <w:szCs w:val="21"/>
                <w:lang w:val="zh-CN"/>
              </w:rPr>
              <w:t>）</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594" w:type="pct"/>
            <w:vMerge w:val="continue"/>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szCs w:val="21"/>
              </w:rPr>
            </w:pP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8</w:t>
            </w:r>
          </w:p>
        </w:tc>
        <w:tc>
          <w:tcPr>
            <w:tcW w:w="6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152114</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CLIM711615</w:t>
            </w:r>
          </w:p>
        </w:tc>
        <w:tc>
          <w:tcPr>
            <w:tcW w:w="1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szCs w:val="21"/>
              </w:rPr>
            </w:pPr>
            <w:r>
              <w:rPr>
                <w:rFonts w:hint="eastAsia" w:ascii="宋体" w:hAnsi="Times New Roman" w:eastAsia="宋体" w:cs="宋体"/>
                <w:szCs w:val="21"/>
                <w:lang w:val="zh-CN"/>
              </w:rPr>
              <w:t>临床检验诊断学（</w:t>
            </w:r>
            <w:r>
              <w:rPr>
                <w:rFonts w:ascii="Times New Roman" w:hAnsi="Times New Roman" w:eastAsia="宋体" w:cs="Times New Roman"/>
                <w:szCs w:val="21"/>
              </w:rPr>
              <w:t>2</w:t>
            </w:r>
            <w:r>
              <w:rPr>
                <w:rFonts w:hint="eastAsia" w:ascii="宋体" w:hAnsi="Times New Roman" w:eastAsia="宋体" w:cs="宋体"/>
                <w:szCs w:val="21"/>
                <w:lang w:val="zh-CN"/>
              </w:rPr>
              <w:t>）</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594" w:type="pct"/>
            <w:vMerge w:val="continue"/>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szCs w:val="21"/>
              </w:rPr>
            </w:pP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9</w:t>
            </w:r>
          </w:p>
        </w:tc>
        <w:tc>
          <w:tcPr>
            <w:tcW w:w="6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152106</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CLIM711215</w:t>
            </w:r>
          </w:p>
        </w:tc>
        <w:tc>
          <w:tcPr>
            <w:tcW w:w="1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szCs w:val="21"/>
              </w:rPr>
            </w:pPr>
            <w:r>
              <w:rPr>
                <w:rFonts w:hint="eastAsia" w:ascii="宋体" w:hAnsi="Times New Roman" w:eastAsia="宋体" w:cs="宋体"/>
                <w:szCs w:val="21"/>
                <w:lang w:val="zh-CN"/>
              </w:rPr>
              <w:t>外科学（</w:t>
            </w:r>
            <w:r>
              <w:rPr>
                <w:rFonts w:ascii="Times New Roman" w:hAnsi="Times New Roman" w:eastAsia="宋体" w:cs="Times New Roman"/>
                <w:szCs w:val="21"/>
              </w:rPr>
              <w:t>2</w:t>
            </w:r>
            <w:r>
              <w:rPr>
                <w:rFonts w:hint="eastAsia" w:ascii="宋体" w:hAnsi="Times New Roman" w:eastAsia="宋体" w:cs="宋体"/>
                <w:szCs w:val="21"/>
                <w:lang w:val="zh-CN"/>
              </w:rPr>
              <w:t>）</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594" w:type="pct"/>
            <w:vMerge w:val="continue"/>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szCs w:val="21"/>
              </w:rPr>
            </w:pP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10</w:t>
            </w:r>
          </w:p>
        </w:tc>
        <w:tc>
          <w:tcPr>
            <w:tcW w:w="6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152101</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CLIM710715</w:t>
            </w:r>
          </w:p>
        </w:tc>
        <w:tc>
          <w:tcPr>
            <w:tcW w:w="1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szCs w:val="21"/>
              </w:rPr>
            </w:pPr>
            <w:r>
              <w:rPr>
                <w:rFonts w:hint="eastAsia" w:ascii="宋体" w:hAnsi="Times New Roman" w:eastAsia="宋体" w:cs="宋体"/>
                <w:szCs w:val="21"/>
                <w:lang w:val="zh-CN"/>
              </w:rPr>
              <w:t>妇产科学（</w:t>
            </w:r>
            <w:r>
              <w:rPr>
                <w:rFonts w:ascii="Times New Roman" w:hAnsi="Times New Roman" w:eastAsia="宋体" w:cs="Times New Roman"/>
                <w:szCs w:val="21"/>
              </w:rPr>
              <w:t>2</w:t>
            </w:r>
            <w:r>
              <w:rPr>
                <w:rFonts w:hint="eastAsia" w:ascii="宋体" w:hAnsi="Times New Roman" w:eastAsia="宋体" w:cs="宋体"/>
                <w:szCs w:val="21"/>
                <w:lang w:val="zh-CN"/>
              </w:rPr>
              <w:t>）</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594" w:type="pct"/>
            <w:vMerge w:val="continue"/>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szCs w:val="21"/>
              </w:rPr>
            </w:pP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11</w:t>
            </w:r>
          </w:p>
        </w:tc>
        <w:tc>
          <w:tcPr>
            <w:tcW w:w="6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152099</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CLIM710515</w:t>
            </w:r>
          </w:p>
        </w:tc>
        <w:tc>
          <w:tcPr>
            <w:tcW w:w="1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szCs w:val="21"/>
              </w:rPr>
            </w:pPr>
            <w:r>
              <w:rPr>
                <w:rFonts w:hint="eastAsia" w:ascii="宋体" w:hAnsi="Times New Roman" w:eastAsia="宋体" w:cs="宋体"/>
                <w:szCs w:val="21"/>
                <w:lang w:val="zh-CN"/>
              </w:rPr>
              <w:t>眼科学（</w:t>
            </w:r>
            <w:r>
              <w:rPr>
                <w:rFonts w:ascii="Times New Roman" w:hAnsi="Times New Roman" w:eastAsia="宋体" w:cs="Times New Roman"/>
                <w:szCs w:val="21"/>
              </w:rPr>
              <w:t>2</w:t>
            </w:r>
            <w:r>
              <w:rPr>
                <w:rFonts w:hint="eastAsia" w:ascii="宋体" w:hAnsi="Times New Roman" w:eastAsia="宋体" w:cs="宋体"/>
                <w:szCs w:val="21"/>
                <w:lang w:val="zh-CN"/>
              </w:rPr>
              <w:t>）</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594" w:type="pct"/>
            <w:vMerge w:val="continue"/>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szCs w:val="21"/>
              </w:rPr>
            </w:pP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12</w:t>
            </w:r>
          </w:p>
        </w:tc>
        <w:tc>
          <w:tcPr>
            <w:tcW w:w="6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152097</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CLIM710315</w:t>
            </w:r>
          </w:p>
        </w:tc>
        <w:tc>
          <w:tcPr>
            <w:tcW w:w="1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szCs w:val="21"/>
              </w:rPr>
            </w:pPr>
            <w:r>
              <w:rPr>
                <w:rFonts w:hint="eastAsia" w:ascii="宋体" w:hAnsi="Times New Roman" w:eastAsia="宋体" w:cs="宋体"/>
                <w:szCs w:val="21"/>
                <w:lang w:val="zh-CN"/>
              </w:rPr>
              <w:t>耳鼻咽喉科学（</w:t>
            </w:r>
            <w:r>
              <w:rPr>
                <w:rFonts w:ascii="Times New Roman" w:hAnsi="Times New Roman" w:eastAsia="宋体" w:cs="Times New Roman"/>
                <w:szCs w:val="21"/>
              </w:rPr>
              <w:t>2</w:t>
            </w:r>
            <w:r>
              <w:rPr>
                <w:rFonts w:hint="eastAsia" w:ascii="宋体" w:hAnsi="Times New Roman" w:eastAsia="宋体" w:cs="宋体"/>
                <w:szCs w:val="21"/>
                <w:lang w:val="zh-CN"/>
              </w:rPr>
              <w:t>）</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594" w:type="pct"/>
            <w:vMerge w:val="continue"/>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szCs w:val="21"/>
              </w:rPr>
            </w:pP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13</w:t>
            </w:r>
          </w:p>
        </w:tc>
        <w:tc>
          <w:tcPr>
            <w:tcW w:w="6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152098</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CLIM710415</w:t>
            </w:r>
          </w:p>
        </w:tc>
        <w:tc>
          <w:tcPr>
            <w:tcW w:w="1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szCs w:val="21"/>
              </w:rPr>
            </w:pPr>
            <w:r>
              <w:rPr>
                <w:rFonts w:hint="eastAsia" w:ascii="宋体" w:hAnsi="Times New Roman" w:eastAsia="宋体" w:cs="宋体"/>
                <w:szCs w:val="21"/>
                <w:lang w:val="zh-CN"/>
              </w:rPr>
              <w:t>肿瘤学（</w:t>
            </w:r>
            <w:r>
              <w:rPr>
                <w:rFonts w:ascii="Times New Roman" w:hAnsi="Times New Roman" w:eastAsia="宋体" w:cs="Times New Roman"/>
                <w:szCs w:val="21"/>
              </w:rPr>
              <w:t>2</w:t>
            </w:r>
            <w:r>
              <w:rPr>
                <w:rFonts w:hint="eastAsia" w:ascii="宋体" w:hAnsi="Times New Roman" w:eastAsia="宋体" w:cs="宋体"/>
                <w:szCs w:val="21"/>
                <w:lang w:val="zh-CN"/>
              </w:rPr>
              <w:t>）</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594" w:type="pct"/>
            <w:vMerge w:val="continue"/>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szCs w:val="21"/>
              </w:rPr>
            </w:pP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14</w:t>
            </w:r>
          </w:p>
        </w:tc>
        <w:tc>
          <w:tcPr>
            <w:tcW w:w="6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152163</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CLIM711815</w:t>
            </w:r>
          </w:p>
        </w:tc>
        <w:tc>
          <w:tcPr>
            <w:tcW w:w="1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szCs w:val="21"/>
              </w:rPr>
            </w:pPr>
            <w:r>
              <w:rPr>
                <w:rFonts w:hint="eastAsia" w:ascii="宋体" w:hAnsi="Times New Roman" w:eastAsia="宋体" w:cs="宋体"/>
                <w:szCs w:val="21"/>
                <w:lang w:val="zh-CN"/>
              </w:rPr>
              <w:t>康复医学与理疗学（</w:t>
            </w:r>
            <w:r>
              <w:rPr>
                <w:rFonts w:ascii="Times New Roman" w:hAnsi="Times New Roman" w:eastAsia="宋体" w:cs="Times New Roman"/>
                <w:szCs w:val="21"/>
              </w:rPr>
              <w:t>2</w:t>
            </w:r>
            <w:r>
              <w:rPr>
                <w:rFonts w:hint="eastAsia" w:ascii="宋体" w:hAnsi="Times New Roman" w:eastAsia="宋体" w:cs="宋体"/>
                <w:szCs w:val="21"/>
                <w:lang w:val="zh-CN"/>
              </w:rPr>
              <w:t>）</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594" w:type="pct"/>
            <w:vMerge w:val="continue"/>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szCs w:val="21"/>
              </w:rPr>
            </w:pP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15</w:t>
            </w:r>
          </w:p>
        </w:tc>
        <w:tc>
          <w:tcPr>
            <w:tcW w:w="6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152164</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CLIM711915</w:t>
            </w:r>
          </w:p>
        </w:tc>
        <w:tc>
          <w:tcPr>
            <w:tcW w:w="1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szCs w:val="21"/>
              </w:rPr>
            </w:pPr>
            <w:r>
              <w:rPr>
                <w:rFonts w:hint="eastAsia" w:ascii="宋体" w:hAnsi="Times New Roman" w:eastAsia="宋体" w:cs="宋体"/>
                <w:szCs w:val="21"/>
                <w:lang w:val="zh-CN"/>
              </w:rPr>
              <w:t>运动医学（</w:t>
            </w:r>
            <w:r>
              <w:rPr>
                <w:rFonts w:ascii="Times New Roman" w:hAnsi="Times New Roman" w:eastAsia="宋体" w:cs="Times New Roman"/>
                <w:szCs w:val="21"/>
              </w:rPr>
              <w:t>2</w:t>
            </w:r>
            <w:r>
              <w:rPr>
                <w:rFonts w:hint="eastAsia" w:ascii="宋体" w:hAnsi="Times New Roman" w:eastAsia="宋体" w:cs="宋体"/>
                <w:szCs w:val="21"/>
                <w:lang w:val="zh-CN"/>
              </w:rPr>
              <w:t>）</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594" w:type="pct"/>
            <w:vMerge w:val="continue"/>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szCs w:val="21"/>
              </w:rPr>
            </w:pP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16</w:t>
            </w:r>
          </w:p>
        </w:tc>
        <w:tc>
          <w:tcPr>
            <w:tcW w:w="6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152100</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CLIM710615</w:t>
            </w:r>
          </w:p>
        </w:tc>
        <w:tc>
          <w:tcPr>
            <w:tcW w:w="1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szCs w:val="21"/>
              </w:rPr>
            </w:pPr>
            <w:r>
              <w:rPr>
                <w:rFonts w:hint="eastAsia" w:ascii="宋体" w:hAnsi="Times New Roman" w:eastAsia="宋体" w:cs="宋体"/>
                <w:szCs w:val="21"/>
                <w:lang w:val="zh-CN"/>
              </w:rPr>
              <w:t>麻醉学（</w:t>
            </w:r>
            <w:r>
              <w:rPr>
                <w:rFonts w:ascii="Times New Roman" w:hAnsi="Times New Roman" w:eastAsia="宋体" w:cs="Times New Roman"/>
                <w:szCs w:val="21"/>
              </w:rPr>
              <w:t>2</w:t>
            </w:r>
            <w:r>
              <w:rPr>
                <w:rFonts w:hint="eastAsia" w:ascii="宋体" w:hAnsi="Times New Roman" w:eastAsia="宋体" w:cs="宋体"/>
                <w:szCs w:val="21"/>
                <w:lang w:val="zh-CN"/>
              </w:rPr>
              <w:t>）</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594" w:type="pct"/>
            <w:vMerge w:val="continue"/>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szCs w:val="21"/>
              </w:rPr>
            </w:pP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17</w:t>
            </w:r>
          </w:p>
        </w:tc>
        <w:tc>
          <w:tcPr>
            <w:tcW w:w="6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152113</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CLIM711515</w:t>
            </w:r>
          </w:p>
        </w:tc>
        <w:tc>
          <w:tcPr>
            <w:tcW w:w="1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szCs w:val="21"/>
              </w:rPr>
            </w:pPr>
            <w:r>
              <w:rPr>
                <w:rFonts w:hint="eastAsia" w:ascii="宋体" w:hAnsi="Times New Roman" w:eastAsia="宋体" w:cs="宋体"/>
                <w:szCs w:val="21"/>
                <w:lang w:val="zh-CN"/>
              </w:rPr>
              <w:t>急诊医学（</w:t>
            </w:r>
            <w:r>
              <w:rPr>
                <w:rFonts w:ascii="Times New Roman" w:hAnsi="Times New Roman" w:eastAsia="宋体" w:cs="Times New Roman"/>
                <w:szCs w:val="21"/>
              </w:rPr>
              <w:t>2</w:t>
            </w:r>
            <w:r>
              <w:rPr>
                <w:rFonts w:hint="eastAsia" w:ascii="宋体" w:hAnsi="Times New Roman" w:eastAsia="宋体" w:cs="宋体"/>
                <w:szCs w:val="21"/>
                <w:lang w:val="zh-CN"/>
              </w:rPr>
              <w:t>）</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594" w:type="pct"/>
            <w:vMerge w:val="continue"/>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5" w:type="pct"/>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szCs w:val="21"/>
              </w:rPr>
            </w:pP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18</w:t>
            </w:r>
          </w:p>
        </w:tc>
        <w:tc>
          <w:tcPr>
            <w:tcW w:w="6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153004</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ascii="宋体" w:hAnsi="Times New Roman" w:eastAsia="宋体" w:cs="宋体"/>
                <w:szCs w:val="21"/>
                <w:lang w:val="zh-CN"/>
              </w:rPr>
              <w:t>CLIM712215</w:t>
            </w:r>
          </w:p>
        </w:tc>
        <w:tc>
          <w:tcPr>
            <w:tcW w:w="1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textAlignment w:val="auto"/>
              <w:rPr>
                <w:rFonts w:ascii="Times New Roman" w:hAnsi="Times New Roman" w:eastAsia="宋体" w:cs="Times New Roman"/>
                <w:szCs w:val="21"/>
              </w:rPr>
            </w:pPr>
            <w:r>
              <w:rPr>
                <w:rFonts w:hint="eastAsia" w:ascii="宋体" w:hAnsi="Times New Roman" w:eastAsia="宋体" w:cs="宋体"/>
                <w:szCs w:val="21"/>
                <w:lang w:val="zh-CN"/>
              </w:rPr>
              <w:t>临床护理学（</w:t>
            </w:r>
            <w:r>
              <w:rPr>
                <w:rFonts w:ascii="Times New Roman" w:hAnsi="Times New Roman" w:eastAsia="宋体" w:cs="Times New Roman"/>
                <w:szCs w:val="21"/>
              </w:rPr>
              <w:t>2</w:t>
            </w:r>
            <w:r>
              <w:rPr>
                <w:rFonts w:hint="eastAsia" w:ascii="宋体" w:hAnsi="Times New Roman" w:eastAsia="宋体" w:cs="宋体"/>
                <w:szCs w:val="21"/>
                <w:lang w:val="zh-CN"/>
              </w:rPr>
              <w:t>）</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594" w:type="pct"/>
            <w:vMerge w:val="continue"/>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学科</w:t>
            </w:r>
            <w:r>
              <w:rPr>
                <w:rFonts w:ascii="Times New Roman" w:hAnsi="Times New Roman" w:eastAsia="宋体" w:cs="Times New Roman"/>
                <w:szCs w:val="21"/>
              </w:rPr>
              <w:t>选修课</w:t>
            </w: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1</w:t>
            </w:r>
          </w:p>
        </w:tc>
        <w:tc>
          <w:tcPr>
            <w:tcW w:w="6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宋体" w:hAnsi="宋体" w:eastAsia="宋体" w:cs="Times New Roman"/>
                <w:szCs w:val="21"/>
              </w:rPr>
            </w:pPr>
            <w:r>
              <w:rPr>
                <w:rFonts w:hint="eastAsia" w:ascii="宋体" w:hAnsi="宋体" w:eastAsia="宋体" w:cs="Times New Roman"/>
                <w:szCs w:val="21"/>
              </w:rPr>
              <w:t>/</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宋体" w:hAnsi="宋体" w:eastAsia="宋体" w:cs="Times New Roman"/>
                <w:szCs w:val="21"/>
              </w:rPr>
            </w:pPr>
            <w:r>
              <w:rPr>
                <w:rFonts w:hint="eastAsia" w:ascii="宋体" w:hAnsi="宋体" w:eastAsia="宋体" w:cs="Times New Roman"/>
                <w:szCs w:val="21"/>
              </w:rPr>
              <w:t>/</w:t>
            </w:r>
          </w:p>
        </w:tc>
        <w:tc>
          <w:tcPr>
            <w:tcW w:w="1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textAlignment w:val="auto"/>
              <w:rPr>
                <w:rFonts w:ascii="Times New Roman" w:hAnsi="Times New Roman" w:eastAsia="宋体" w:cs="Times New Roman"/>
                <w:szCs w:val="21"/>
              </w:rPr>
            </w:pPr>
            <w:r>
              <w:rPr>
                <w:rFonts w:ascii="Times New Roman" w:hAnsi="Times New Roman" w:eastAsia="宋体" w:cs="Times New Roman"/>
                <w:szCs w:val="21"/>
              </w:rPr>
              <w:t>研究生课程目录上选修</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≥3</w:t>
            </w:r>
          </w:p>
        </w:tc>
        <w:tc>
          <w:tcPr>
            <w:tcW w:w="594" w:type="pct"/>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学分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其他</w:t>
            </w:r>
            <w:r>
              <w:rPr>
                <w:rFonts w:ascii="Times New Roman" w:hAnsi="Times New Roman" w:eastAsia="宋体" w:cs="Times New Roman"/>
                <w:szCs w:val="21"/>
              </w:rPr>
              <w:t>选修课</w:t>
            </w: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6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宋体" w:hAnsi="宋体" w:eastAsia="宋体" w:cs="Times New Roman"/>
                <w:szCs w:val="21"/>
              </w:rPr>
            </w:pPr>
            <w:r>
              <w:rPr>
                <w:rFonts w:hint="eastAsia" w:ascii="宋体" w:hAnsi="宋体" w:eastAsia="宋体" w:cs="Times New Roman"/>
                <w:szCs w:val="21"/>
              </w:rPr>
              <w:t>153044</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宋体" w:hAnsi="宋体" w:eastAsia="宋体" w:cs="Times New Roman"/>
                <w:szCs w:val="21"/>
              </w:rPr>
            </w:pPr>
            <w:r>
              <w:rPr>
                <w:rFonts w:ascii="宋体" w:hAnsi="宋体" w:eastAsia="宋体" w:cs="Times New Roman"/>
                <w:szCs w:val="21"/>
              </w:rPr>
              <w:t>BASM612615</w:t>
            </w:r>
          </w:p>
        </w:tc>
        <w:tc>
          <w:tcPr>
            <w:tcW w:w="1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研究生</w:t>
            </w:r>
            <w:r>
              <w:rPr>
                <w:rFonts w:ascii="Times New Roman" w:hAnsi="Times New Roman" w:eastAsia="宋体" w:cs="Times New Roman"/>
                <w:szCs w:val="21"/>
              </w:rPr>
              <w:t>论文写作</w:t>
            </w:r>
            <w:r>
              <w:rPr>
                <w:rFonts w:hint="eastAsia" w:ascii="Times New Roman" w:hAnsi="Times New Roman" w:eastAsia="宋体" w:cs="Times New Roman"/>
                <w:szCs w:val="21"/>
              </w:rPr>
              <w:t>指导（15）</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w:t>
            </w:r>
          </w:p>
        </w:tc>
        <w:tc>
          <w:tcPr>
            <w:tcW w:w="594" w:type="pct"/>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1学分</w:t>
            </w:r>
          </w:p>
          <w:p>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（必修）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5"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宋体" w:hAnsi="Times New Roman" w:eastAsia="宋体" w:cs="宋体"/>
                <w:szCs w:val="21"/>
                <w:lang w:val="zh-CN"/>
              </w:rPr>
            </w:pPr>
            <w:r>
              <w:rPr>
                <w:rFonts w:hint="eastAsia" w:ascii="宋体" w:hAnsi="Times New Roman" w:eastAsia="宋体" w:cs="宋体"/>
                <w:szCs w:val="21"/>
                <w:lang w:val="zh-CN"/>
              </w:rPr>
              <w:t>必修环节</w:t>
            </w: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6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001999</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BXHJ8003</w:t>
            </w:r>
            <w:r>
              <w:rPr>
                <w:rFonts w:hint="eastAsia" w:cs="Times New Roman" w:asciiTheme="minorEastAsia" w:hAnsiTheme="minorEastAsia"/>
                <w:szCs w:val="21"/>
              </w:rPr>
              <w:t>99</w:t>
            </w:r>
          </w:p>
        </w:tc>
        <w:tc>
          <w:tcPr>
            <w:tcW w:w="1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学术活动（讲座）</w:t>
            </w:r>
            <w:r>
              <w:rPr>
                <w:rFonts w:hint="eastAsia" w:ascii="Times New Roman" w:hAnsi="Times New Roman" w:cs="Times New Roman"/>
                <w:szCs w:val="21"/>
              </w:rPr>
              <w:t>博</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94" w:type="pct"/>
            <w:vMerge w:val="restart"/>
            <w:tcBorders>
              <w:top w:val="single" w:color="auto" w:sz="4" w:space="0"/>
              <w:lef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17</w:t>
            </w:r>
            <w:r>
              <w:rPr>
                <w:rFonts w:hint="eastAsia" w:ascii="Times New Roman" w:hAnsi="Times New Roman" w:eastAsia="宋体" w:cs="Times New Roman"/>
                <w:szCs w:val="21"/>
              </w:rPr>
              <w:t>学分</w:t>
            </w:r>
          </w:p>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（必修）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6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001987</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BXHJ6006</w:t>
            </w:r>
            <w:r>
              <w:rPr>
                <w:rFonts w:hint="eastAsia" w:cs="Times New Roman" w:asciiTheme="minorEastAsia" w:hAnsiTheme="minorEastAsia"/>
                <w:szCs w:val="21"/>
              </w:rPr>
              <w:t>99</w:t>
            </w:r>
          </w:p>
        </w:tc>
        <w:tc>
          <w:tcPr>
            <w:tcW w:w="1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社会实践</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594" w:type="pct"/>
            <w:vMerge w:val="continue"/>
            <w:tcBorders>
              <w:lef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3</w:t>
            </w:r>
          </w:p>
        </w:tc>
        <w:tc>
          <w:tcPr>
            <w:tcW w:w="6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001972</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BXHJ8007</w:t>
            </w:r>
            <w:r>
              <w:rPr>
                <w:rFonts w:hint="eastAsia" w:cs="Times New Roman" w:asciiTheme="minorEastAsia" w:hAnsiTheme="minorEastAsia"/>
                <w:szCs w:val="21"/>
              </w:rPr>
              <w:t>99</w:t>
            </w:r>
          </w:p>
        </w:tc>
        <w:tc>
          <w:tcPr>
            <w:tcW w:w="1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两助一辅</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94" w:type="pct"/>
            <w:vMerge w:val="continue"/>
            <w:tcBorders>
              <w:lef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4</w:t>
            </w:r>
          </w:p>
        </w:tc>
        <w:tc>
          <w:tcPr>
            <w:tcW w:w="6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001995</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BXHJ8002</w:t>
            </w:r>
            <w:r>
              <w:rPr>
                <w:rFonts w:hint="eastAsia" w:cs="Times New Roman" w:asciiTheme="minorEastAsia" w:hAnsiTheme="minorEastAsia"/>
                <w:szCs w:val="21"/>
              </w:rPr>
              <w:t>99</w:t>
            </w:r>
          </w:p>
        </w:tc>
        <w:tc>
          <w:tcPr>
            <w:tcW w:w="1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基金撰写</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594" w:type="pct"/>
            <w:vMerge w:val="continue"/>
            <w:tcBorders>
              <w:lef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5</w:t>
            </w:r>
          </w:p>
        </w:tc>
        <w:tc>
          <w:tcPr>
            <w:tcW w:w="6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001970</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BXHJ8009</w:t>
            </w:r>
            <w:r>
              <w:rPr>
                <w:rFonts w:hint="eastAsia" w:cs="Times New Roman" w:asciiTheme="minorEastAsia" w:hAnsiTheme="minorEastAsia"/>
                <w:szCs w:val="21"/>
              </w:rPr>
              <w:t>99</w:t>
            </w:r>
          </w:p>
        </w:tc>
        <w:tc>
          <w:tcPr>
            <w:tcW w:w="1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国际化交流</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594" w:type="pct"/>
            <w:vMerge w:val="continue"/>
            <w:tcBorders>
              <w:lef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6</w:t>
            </w:r>
          </w:p>
        </w:tc>
        <w:tc>
          <w:tcPr>
            <w:tcW w:w="6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Times New Roman" w:hAnsi="Times New Roman" w:cs="Times New Roman"/>
                <w:szCs w:val="21"/>
              </w:rPr>
            </w:pPr>
            <w:r>
              <w:rPr>
                <w:rFonts w:cs="Times New Roman" w:asciiTheme="minorEastAsia" w:hAnsiTheme="minorEastAsia"/>
                <w:szCs w:val="21"/>
              </w:rPr>
              <w:t>001986</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BXHJ8004</w:t>
            </w:r>
            <w:r>
              <w:rPr>
                <w:rFonts w:hint="eastAsia" w:cs="Times New Roman" w:asciiTheme="minorEastAsia" w:hAnsiTheme="minorEastAsia"/>
                <w:szCs w:val="21"/>
              </w:rPr>
              <w:t>99</w:t>
            </w:r>
          </w:p>
        </w:tc>
        <w:tc>
          <w:tcPr>
            <w:tcW w:w="1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开题报告</w:t>
            </w:r>
            <w:r>
              <w:rPr>
                <w:rFonts w:hint="eastAsia" w:ascii="Times New Roman" w:hAnsi="Times New Roman" w:cs="Times New Roman"/>
                <w:szCs w:val="21"/>
              </w:rPr>
              <w:t>（博）</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94" w:type="pct"/>
            <w:vMerge w:val="continue"/>
            <w:tcBorders>
              <w:lef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7</w:t>
            </w:r>
          </w:p>
        </w:tc>
        <w:tc>
          <w:tcPr>
            <w:tcW w:w="6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001994</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BXHJ8001</w:t>
            </w:r>
            <w:r>
              <w:rPr>
                <w:rFonts w:hint="eastAsia" w:cs="Times New Roman" w:asciiTheme="minorEastAsia" w:hAnsiTheme="minorEastAsia"/>
                <w:szCs w:val="21"/>
              </w:rPr>
              <w:t>99</w:t>
            </w:r>
          </w:p>
        </w:tc>
        <w:tc>
          <w:tcPr>
            <w:tcW w:w="1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中期考核</w:t>
            </w:r>
            <w:r>
              <w:rPr>
                <w:rFonts w:hint="eastAsia" w:ascii="Times New Roman" w:hAnsi="Times New Roman" w:cs="Times New Roman"/>
                <w:szCs w:val="21"/>
              </w:rPr>
              <w:t>（博）</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6</w:t>
            </w:r>
          </w:p>
        </w:tc>
        <w:tc>
          <w:tcPr>
            <w:tcW w:w="594" w:type="pct"/>
            <w:vMerge w:val="continue"/>
            <w:tcBorders>
              <w:lef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8</w:t>
            </w:r>
          </w:p>
        </w:tc>
        <w:tc>
          <w:tcPr>
            <w:tcW w:w="6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001971</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INFT600499</w:t>
            </w:r>
          </w:p>
        </w:tc>
        <w:tc>
          <w:tcPr>
            <w:tcW w:w="1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文献阅读</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94" w:type="pct"/>
            <w:vMerge w:val="continue"/>
            <w:tcBorders>
              <w:lef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9</w:t>
            </w:r>
          </w:p>
        </w:tc>
        <w:tc>
          <w:tcPr>
            <w:tcW w:w="6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cs="Times New Roman" w:asciiTheme="minorEastAsia" w:hAnsiTheme="minorEastAsia"/>
                <w:szCs w:val="21"/>
              </w:rPr>
            </w:pPr>
            <w:r>
              <w:rPr>
                <w:rFonts w:hint="eastAsia" w:ascii="Times New Roman" w:hAnsi="Times New Roman" w:cs="Times New Roman"/>
                <w:szCs w:val="21"/>
              </w:rPr>
              <w:t>001954</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cs="Times New Roman" w:asciiTheme="minorEastAsia" w:hAnsiTheme="minorEastAsia"/>
                <w:szCs w:val="21"/>
              </w:rPr>
            </w:pPr>
            <w:r>
              <w:rPr>
                <w:rFonts w:hint="eastAsia" w:ascii="Times New Roman" w:hAnsi="Times New Roman" w:cs="Times New Roman"/>
                <w:szCs w:val="21"/>
              </w:rPr>
              <w:t>B</w:t>
            </w:r>
            <w:r>
              <w:rPr>
                <w:rFonts w:ascii="Times New Roman" w:hAnsi="Times New Roman" w:cs="Times New Roman"/>
                <w:szCs w:val="21"/>
              </w:rPr>
              <w:t>XHJ602499</w:t>
            </w:r>
          </w:p>
        </w:tc>
        <w:tc>
          <w:tcPr>
            <w:tcW w:w="1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Times New Roman" w:hAnsi="Times New Roman" w:cs="Times New Roman"/>
                <w:szCs w:val="21"/>
              </w:rPr>
            </w:pPr>
            <w:r>
              <w:rPr>
                <w:rFonts w:hint="eastAsia" w:ascii="Times New Roman" w:hAnsi="Times New Roman" w:cs="Times New Roman"/>
                <w:szCs w:val="21"/>
              </w:rPr>
              <w:t>劳动教育</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0</w:t>
            </w:r>
          </w:p>
        </w:tc>
        <w:tc>
          <w:tcPr>
            <w:tcW w:w="594" w:type="pct"/>
            <w:vMerge w:val="continue"/>
            <w:tcBorders>
              <w:lef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10</w:t>
            </w:r>
          </w:p>
        </w:tc>
        <w:tc>
          <w:tcPr>
            <w:tcW w:w="6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001955</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B</w:t>
            </w:r>
            <w:r>
              <w:rPr>
                <w:rFonts w:ascii="Times New Roman" w:hAnsi="Times New Roman" w:cs="Times New Roman"/>
                <w:szCs w:val="21"/>
              </w:rPr>
              <w:t>XHJ602399</w:t>
            </w:r>
          </w:p>
        </w:tc>
        <w:tc>
          <w:tcPr>
            <w:tcW w:w="1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Times New Roman" w:hAnsi="Times New Roman" w:cs="Times New Roman"/>
                <w:szCs w:val="21"/>
              </w:rPr>
            </w:pPr>
            <w:r>
              <w:rPr>
                <w:rFonts w:hint="eastAsia" w:ascii="Times New Roman" w:hAnsi="Times New Roman" w:cs="Times New Roman"/>
                <w:szCs w:val="21"/>
              </w:rPr>
              <w:t>美育</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0</w:t>
            </w:r>
          </w:p>
        </w:tc>
        <w:tc>
          <w:tcPr>
            <w:tcW w:w="594" w:type="pct"/>
            <w:vMerge w:val="continue"/>
            <w:tcBorders>
              <w:lef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25" w:type="pct"/>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p>
        </w:tc>
        <w:tc>
          <w:tcPr>
            <w:tcW w:w="29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11</w:t>
            </w:r>
          </w:p>
        </w:tc>
        <w:tc>
          <w:tcPr>
            <w:tcW w:w="62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001956</w:t>
            </w:r>
          </w:p>
        </w:tc>
        <w:tc>
          <w:tcPr>
            <w:tcW w:w="79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B</w:t>
            </w:r>
            <w:r>
              <w:rPr>
                <w:rFonts w:ascii="Times New Roman" w:hAnsi="Times New Roman" w:cs="Times New Roman"/>
                <w:szCs w:val="21"/>
              </w:rPr>
              <w:t>XHJ602299</w:t>
            </w:r>
          </w:p>
        </w:tc>
        <w:tc>
          <w:tcPr>
            <w:tcW w:w="1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left"/>
              <w:textAlignment w:val="auto"/>
              <w:rPr>
                <w:rFonts w:ascii="Times New Roman" w:hAnsi="Times New Roman" w:cs="Times New Roman"/>
                <w:szCs w:val="21"/>
              </w:rPr>
            </w:pPr>
            <w:r>
              <w:rPr>
                <w:rFonts w:hint="eastAsia" w:ascii="Times New Roman" w:hAnsi="Times New Roman" w:cs="Times New Roman"/>
                <w:szCs w:val="21"/>
              </w:rPr>
              <w:t>体育</w:t>
            </w:r>
          </w:p>
        </w:tc>
        <w:tc>
          <w:tcPr>
            <w:tcW w:w="29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0</w:t>
            </w:r>
          </w:p>
        </w:tc>
        <w:tc>
          <w:tcPr>
            <w:tcW w:w="594" w:type="pct"/>
            <w:vMerge w:val="continue"/>
            <w:tcBorders>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240" w:lineRule="auto"/>
              <w:jc w:val="center"/>
              <w:textAlignment w:val="auto"/>
              <w:rPr>
                <w:rFonts w:ascii="Times New Roman" w:hAnsi="Times New Roman" w:eastAsia="宋体" w:cs="Times New Roman"/>
                <w:szCs w:val="21"/>
              </w:rPr>
            </w:pPr>
          </w:p>
        </w:tc>
      </w:tr>
      <w:bookmarkEnd w:id="160"/>
      <w:bookmarkEnd w:id="161"/>
    </w:tbl>
    <w:p>
      <w:pPr>
        <w:keepNext w:val="0"/>
        <w:keepLines w:val="0"/>
        <w:pageBreakBefore w:val="0"/>
        <w:widowControl w:val="0"/>
        <w:kinsoku/>
        <w:wordWrap/>
        <w:overflowPunct/>
        <w:topLinePunct w:val="0"/>
        <w:autoSpaceDE/>
        <w:autoSpaceDN/>
        <w:bidi w:val="0"/>
        <w:spacing w:before="95" w:beforeLines="30" w:after="95" w:afterLines="30" w:line="300" w:lineRule="auto"/>
        <w:ind w:firstLine="480" w:firstLineChars="200"/>
        <w:textAlignment w:val="auto"/>
        <w:rPr>
          <w:rFonts w:ascii="黑体" w:hAnsi="黑体" w:eastAsia="黑体"/>
          <w:sz w:val="24"/>
          <w:szCs w:val="24"/>
        </w:rPr>
      </w:pPr>
      <w:r>
        <w:rPr>
          <w:rFonts w:ascii="黑体" w:hAnsi="黑体" w:eastAsia="黑体"/>
          <w:sz w:val="24"/>
          <w:szCs w:val="24"/>
        </w:rPr>
        <w:t>六、</w:t>
      </w:r>
      <w:r>
        <w:rPr>
          <w:rFonts w:hint="eastAsia" w:ascii="黑体" w:hAnsi="黑体" w:eastAsia="黑体"/>
          <w:sz w:val="24"/>
          <w:szCs w:val="24"/>
        </w:rPr>
        <w:t>必修</w:t>
      </w:r>
      <w:r>
        <w:rPr>
          <w:rFonts w:ascii="黑体" w:hAnsi="黑体" w:eastAsia="黑体"/>
          <w:sz w:val="24"/>
          <w:szCs w:val="24"/>
        </w:rPr>
        <w:t>环节</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．学</w:t>
      </w:r>
      <w:r>
        <w:rPr>
          <w:rFonts w:ascii="Times New Roman" w:hAnsi="Times New Roman" w:eastAsia="宋体" w:cs="Times New Roman"/>
          <w:b/>
          <w:bCs/>
          <w:szCs w:val="21"/>
        </w:rPr>
        <w:t>术活动（讲座）</w:t>
      </w:r>
    </w:p>
    <w:p>
      <w:pPr>
        <w:keepNext w:val="0"/>
        <w:keepLines w:val="0"/>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博士研究生学术活动（讲座）分为必听讲座和选听讲座。必听讲座为</w:t>
      </w:r>
      <w:r>
        <w:rPr>
          <w:rFonts w:cs="Times New Roman" w:asciiTheme="minorEastAsia" w:hAnsiTheme="minorEastAsia"/>
          <w:szCs w:val="21"/>
        </w:rPr>
        <w:t>“科学道德与学风建设”</w:t>
      </w:r>
      <w:r>
        <w:rPr>
          <w:rFonts w:ascii="Times New Roman" w:hAnsi="Times New Roman" w:eastAsia="宋体" w:cs="Times New Roman"/>
          <w:szCs w:val="21"/>
        </w:rPr>
        <w:t>；选听讲座包括与学科紧密相关</w:t>
      </w:r>
      <w:r>
        <w:rPr>
          <w:rFonts w:cs="Times New Roman" w:asciiTheme="minorEastAsia" w:hAnsiTheme="minorEastAsia"/>
          <w:szCs w:val="21"/>
        </w:rPr>
        <w:t>的“学</w:t>
      </w:r>
      <w:r>
        <w:rPr>
          <w:rFonts w:ascii="Times New Roman" w:hAnsi="Times New Roman" w:eastAsia="宋体" w:cs="Times New Roman"/>
          <w:szCs w:val="21"/>
        </w:rPr>
        <w:t>科前沿系列专题</w:t>
      </w:r>
      <w:r>
        <w:rPr>
          <w:rFonts w:cs="Times New Roman" w:asciiTheme="minorEastAsia" w:hAnsiTheme="minorEastAsia"/>
          <w:szCs w:val="21"/>
        </w:rPr>
        <w:t>讲座”（</w:t>
      </w:r>
      <w:r>
        <w:rPr>
          <w:rFonts w:ascii="Times New Roman" w:hAnsi="Times New Roman" w:eastAsia="宋体" w:cs="Times New Roman"/>
          <w:szCs w:val="21"/>
        </w:rPr>
        <w:t>由各二级学科组织若干教授对本学科前沿知识进行讲座，每个讲座由5个以上讲座组成）一个系列和在全校范围内选听</w:t>
      </w:r>
      <w:r>
        <w:rPr>
          <w:rFonts w:cs="Times New Roman" w:asciiTheme="minorEastAsia" w:hAnsiTheme="minorEastAsia"/>
          <w:szCs w:val="21"/>
        </w:rPr>
        <w:t>“学术讲座”</w:t>
      </w:r>
      <w:r>
        <w:rPr>
          <w:rFonts w:ascii="Times New Roman" w:hAnsi="Times New Roman" w:eastAsia="宋体" w:cs="Times New Roman"/>
          <w:szCs w:val="21"/>
        </w:rPr>
        <w:t>1次，自己公开讲座1次，完成后记2学分</w:t>
      </w:r>
      <w:r>
        <w:rPr>
          <w:rFonts w:hint="eastAsia"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w:t>
      </w:r>
      <w:r>
        <w:rPr>
          <w:rFonts w:ascii="Times New Roman" w:hAnsi="Times New Roman" w:eastAsia="宋体" w:cs="Times New Roman"/>
          <w:b/>
          <w:bCs/>
          <w:szCs w:val="21"/>
        </w:rPr>
        <w:t>社会实践</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w:t>
      </w:r>
      <w:r>
        <w:rPr>
          <w:rFonts w:cs="Times New Roman" w:asciiTheme="minorEastAsia" w:hAnsiTheme="minorEastAsia"/>
          <w:szCs w:val="21"/>
        </w:rPr>
        <w:t>社会实践</w:t>
      </w:r>
      <w:r>
        <w:rPr>
          <w:rFonts w:hint="eastAsia" w:cs="Times New Roman" w:asciiTheme="minorEastAsia" w:hAnsiTheme="minorEastAsia"/>
          <w:szCs w:val="21"/>
        </w:rPr>
        <w:t>”</w:t>
      </w:r>
      <w:r>
        <w:rPr>
          <w:rFonts w:cs="Times New Roman" w:asciiTheme="minorEastAsia" w:hAnsiTheme="minorEastAsia"/>
          <w:szCs w:val="21"/>
        </w:rPr>
        <w:t>是指研究生在校学习期间，除完成本学科规定的业务实践外，接触社会、了解社会、服务社会的实践活动。</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可以通过组织和参与社会调查、支教、扶贫及其他志愿者服务等方式进行，提倡以小组或团队形式开展活动，累计不少于</w:t>
      </w:r>
      <w:r>
        <w:rPr>
          <w:rFonts w:ascii="Times New Roman" w:hAnsi="Times New Roman" w:cs="Times New Roman"/>
          <w:szCs w:val="21"/>
        </w:rPr>
        <w:t>10</w:t>
      </w:r>
      <w:r>
        <w:rPr>
          <w:rFonts w:cs="Times New Roman" w:asciiTheme="minorEastAsia" w:hAnsiTheme="minorEastAsia"/>
          <w:szCs w:val="21"/>
        </w:rPr>
        <w:t>个工作日。</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研</w:t>
      </w:r>
      <w:r>
        <w:rPr>
          <w:rFonts w:cs="Times New Roman" w:asciiTheme="minorEastAsia" w:hAnsiTheme="minorEastAsia"/>
          <w:spacing w:val="-2"/>
          <w:szCs w:val="21"/>
        </w:rPr>
        <w:t>究生完成</w:t>
      </w:r>
      <w:r>
        <w:rPr>
          <w:rFonts w:hint="eastAsia" w:cs="Times New Roman" w:asciiTheme="minorEastAsia" w:hAnsiTheme="minorEastAsia"/>
          <w:spacing w:val="-2"/>
          <w:szCs w:val="21"/>
        </w:rPr>
        <w:t>“</w:t>
      </w:r>
      <w:r>
        <w:rPr>
          <w:rFonts w:cs="Times New Roman" w:asciiTheme="minorEastAsia" w:hAnsiTheme="minorEastAsia"/>
          <w:spacing w:val="-2"/>
          <w:szCs w:val="21"/>
        </w:rPr>
        <w:t>社会实践</w:t>
      </w:r>
      <w:r>
        <w:rPr>
          <w:rFonts w:hint="eastAsia" w:cs="Times New Roman" w:asciiTheme="minorEastAsia" w:hAnsiTheme="minorEastAsia"/>
          <w:spacing w:val="-2"/>
          <w:szCs w:val="21"/>
        </w:rPr>
        <w:t>”</w:t>
      </w:r>
      <w:r>
        <w:rPr>
          <w:rFonts w:cs="Times New Roman" w:asciiTheme="minorEastAsia" w:hAnsiTheme="minorEastAsia"/>
          <w:spacing w:val="-2"/>
          <w:szCs w:val="21"/>
        </w:rPr>
        <w:t>活动后，需撰写不少于</w:t>
      </w:r>
      <w:r>
        <w:rPr>
          <w:rFonts w:ascii="Times New Roman" w:hAnsi="Times New Roman" w:cs="Times New Roman"/>
          <w:spacing w:val="-2"/>
          <w:szCs w:val="21"/>
        </w:rPr>
        <w:t>3000</w:t>
      </w:r>
      <w:r>
        <w:rPr>
          <w:rFonts w:cs="Times New Roman" w:asciiTheme="minorEastAsia" w:hAnsiTheme="minorEastAsia"/>
          <w:spacing w:val="-2"/>
          <w:szCs w:val="21"/>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rFonts w:ascii="Times New Roman" w:hAnsi="Times New Roman" w:cs="Times New Roman"/>
          <w:spacing w:val="-2"/>
          <w:szCs w:val="21"/>
        </w:rPr>
        <w:t>1</w:t>
      </w:r>
      <w:r>
        <w:rPr>
          <w:rFonts w:cs="Times New Roman" w:asciiTheme="minorEastAsia" w:hAnsiTheme="minorEastAsia"/>
          <w:spacing w:val="-2"/>
          <w:szCs w:val="21"/>
        </w:rPr>
        <w:t>学分。</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w:t>
      </w:r>
      <w:r>
        <w:rPr>
          <w:rFonts w:ascii="Times New Roman" w:hAnsi="Times New Roman" w:eastAsia="宋体" w:cs="Times New Roman"/>
          <w:b/>
          <w:bCs/>
          <w:szCs w:val="21"/>
        </w:rPr>
        <w:t>两助一辅</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w:t>
      </w:r>
      <w:r>
        <w:rPr>
          <w:rFonts w:cs="Times New Roman" w:asciiTheme="minorEastAsia" w:hAnsiTheme="minorEastAsia"/>
          <w:szCs w:val="21"/>
        </w:rPr>
        <w:t>两助一辅</w:t>
      </w:r>
      <w:r>
        <w:rPr>
          <w:rFonts w:hint="eastAsia" w:cs="Times New Roman" w:asciiTheme="minorEastAsia" w:hAnsiTheme="minorEastAsia"/>
          <w:szCs w:val="21"/>
        </w:rPr>
        <w:t>”</w:t>
      </w:r>
      <w:r>
        <w:rPr>
          <w:rFonts w:cs="Times New Roman" w:asciiTheme="minorEastAsia" w:hAnsiTheme="minorEastAsia"/>
          <w:szCs w:val="21"/>
        </w:rPr>
        <w:t>是指研究生担任助教、助管和辅导员工作，其目的是培养研究生的综合能力，是研究生培养过程的有机组成部分。</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全日制博士研究生在培养过程中必须完成至少一个标准岗位的助教、助管或辅导员工作。该环节纳入学分管理，通过后记</w:t>
      </w:r>
      <w:r>
        <w:rPr>
          <w:rFonts w:ascii="Times New Roman" w:hAnsi="Times New Roman" w:cs="Times New Roman"/>
          <w:szCs w:val="21"/>
        </w:rPr>
        <w:t>2</w:t>
      </w:r>
      <w:r>
        <w:rPr>
          <w:rFonts w:cs="Times New Roman" w:asciiTheme="minorEastAsia" w:hAnsiTheme="minorEastAsia"/>
          <w:szCs w:val="21"/>
        </w:rPr>
        <w:t>学分。</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4</w:t>
      </w:r>
      <w:r>
        <w:rPr>
          <w:rFonts w:hint="eastAsia" w:ascii="Times New Roman" w:hAnsi="Times New Roman" w:eastAsia="宋体" w:cs="Times New Roman"/>
          <w:b/>
          <w:bCs/>
          <w:szCs w:val="21"/>
        </w:rPr>
        <w:t>．</w:t>
      </w:r>
      <w:r>
        <w:rPr>
          <w:rFonts w:ascii="Times New Roman" w:hAnsi="Times New Roman" w:eastAsia="宋体" w:cs="Times New Roman"/>
          <w:b/>
          <w:bCs/>
          <w:szCs w:val="21"/>
        </w:rPr>
        <w:t>基金撰写</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kern w:val="0"/>
          <w:szCs w:val="21"/>
        </w:rPr>
      </w:pPr>
      <w:r>
        <w:rPr>
          <w:rFonts w:hint="eastAsia" w:cs="Times New Roman" w:asciiTheme="minorEastAsia" w:hAnsiTheme="minorEastAsia"/>
          <w:szCs w:val="21"/>
        </w:rPr>
        <w:t>博士</w:t>
      </w:r>
      <w:r>
        <w:rPr>
          <w:rFonts w:cs="Times New Roman" w:asciiTheme="minorEastAsia" w:hAnsiTheme="minorEastAsia"/>
          <w:szCs w:val="21"/>
        </w:rPr>
        <w:t>研究生在学习期间，须在导师指导下，完成一项国家科研基金申请书的撰写，培养博士生申请科研项目的能力，导师同意通过后，记</w:t>
      </w:r>
      <w:r>
        <w:rPr>
          <w:rFonts w:ascii="Times New Roman" w:hAnsi="Times New Roman" w:cs="Times New Roman"/>
          <w:szCs w:val="21"/>
        </w:rPr>
        <w:t>1</w:t>
      </w:r>
      <w:r>
        <w:rPr>
          <w:rFonts w:cs="Times New Roman" w:asciiTheme="minorEastAsia" w:hAnsiTheme="minorEastAsia"/>
          <w:szCs w:val="21"/>
        </w:rPr>
        <w:t>学分。</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5</w:t>
      </w:r>
      <w:r>
        <w:rPr>
          <w:rFonts w:hint="eastAsia" w:ascii="Times New Roman" w:hAnsi="Times New Roman" w:eastAsia="宋体" w:cs="Times New Roman"/>
          <w:b/>
          <w:bCs/>
          <w:szCs w:val="21"/>
        </w:rPr>
        <w:t>．</w:t>
      </w:r>
      <w:r>
        <w:rPr>
          <w:rFonts w:ascii="Times New Roman" w:hAnsi="Times New Roman" w:eastAsia="宋体" w:cs="Times New Roman"/>
          <w:b/>
          <w:bCs/>
          <w:szCs w:val="21"/>
        </w:rPr>
        <w:t>国际化交流</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kern w:val="0"/>
          <w:szCs w:val="21"/>
        </w:rPr>
        <w:t>立足于培养</w:t>
      </w:r>
      <w:r>
        <w:rPr>
          <w:rFonts w:hint="eastAsia" w:cs="Times New Roman" w:asciiTheme="minorEastAsia" w:hAnsiTheme="minorEastAsia"/>
          <w:kern w:val="0"/>
          <w:szCs w:val="21"/>
        </w:rPr>
        <w:t>博士</w:t>
      </w:r>
      <w:r>
        <w:rPr>
          <w:rFonts w:cs="Times New Roman" w:asciiTheme="minorEastAsia" w:hAnsiTheme="minorEastAsia"/>
          <w:kern w:val="0"/>
          <w:szCs w:val="21"/>
        </w:rPr>
        <w:t>研究生的全球化视野，</w:t>
      </w:r>
      <w:r>
        <w:rPr>
          <w:rFonts w:cs="Times New Roman" w:asciiTheme="minorEastAsia" w:hAnsiTheme="minorEastAsia"/>
          <w:szCs w:val="21"/>
        </w:rPr>
        <w:t>研究生在校期间，达到以下条件之一记1学分：</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1</w:t>
      </w:r>
      <w:r>
        <w:rPr>
          <w:rFonts w:cs="Times New Roman" w:asciiTheme="minorEastAsia" w:hAnsiTheme="minorEastAsia"/>
          <w:szCs w:val="21"/>
        </w:rPr>
        <w:t>）</w:t>
      </w:r>
      <w:r>
        <w:rPr>
          <w:rFonts w:hint="eastAsia" w:ascii="Times New Roman" w:hAnsi="Times New Roman" w:cs="Times New Roman"/>
          <w:szCs w:val="21"/>
        </w:rPr>
        <w:t>CSC</w:t>
      </w:r>
      <w:r>
        <w:rPr>
          <w:rFonts w:hint="eastAsia" w:cs="Times New Roman" w:asciiTheme="minorEastAsia" w:hAnsiTheme="minorEastAsia"/>
          <w:szCs w:val="21"/>
        </w:rPr>
        <w:t>项目；</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2</w:t>
      </w:r>
      <w:r>
        <w:rPr>
          <w:rFonts w:cs="Times New Roman" w:asciiTheme="minorEastAsia" w:hAnsiTheme="minorEastAsia"/>
          <w:szCs w:val="21"/>
        </w:rPr>
        <w:t>）</w:t>
      </w:r>
      <w:r>
        <w:rPr>
          <w:rFonts w:hint="eastAsia" w:cs="Times New Roman" w:asciiTheme="minorEastAsia" w:hAnsiTheme="minorEastAsia"/>
          <w:szCs w:val="21"/>
        </w:rPr>
        <w:t>与国（境）外</w:t>
      </w:r>
      <w:r>
        <w:rPr>
          <w:rFonts w:cs="Times New Roman" w:asciiTheme="minorEastAsia" w:hAnsiTheme="minorEastAsia"/>
          <w:szCs w:val="21"/>
        </w:rPr>
        <w:t>联合培养；</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3</w:t>
      </w:r>
      <w:r>
        <w:rPr>
          <w:rFonts w:cs="Times New Roman" w:asciiTheme="minorEastAsia" w:hAnsiTheme="minorEastAsia"/>
          <w:szCs w:val="21"/>
        </w:rPr>
        <w:t>）</w:t>
      </w:r>
      <w:r>
        <w:rPr>
          <w:rFonts w:hint="eastAsia" w:cs="Times New Roman" w:asciiTheme="minorEastAsia" w:hAnsiTheme="minorEastAsia"/>
          <w:szCs w:val="21"/>
        </w:rPr>
        <w:t>国（境）外</w:t>
      </w:r>
      <w:r>
        <w:rPr>
          <w:rFonts w:cs="Times New Roman" w:asciiTheme="minorEastAsia" w:hAnsiTheme="minorEastAsia"/>
          <w:szCs w:val="21"/>
        </w:rPr>
        <w:t>短期出</w:t>
      </w:r>
      <w:r>
        <w:rPr>
          <w:rFonts w:hint="eastAsia" w:cs="Times New Roman" w:asciiTheme="minorEastAsia" w:hAnsiTheme="minorEastAsia"/>
          <w:szCs w:val="21"/>
        </w:rPr>
        <w:t>访、国际组织实习（三个月以上）；</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4</w:t>
      </w:r>
      <w:r>
        <w:rPr>
          <w:rFonts w:cs="Times New Roman" w:asciiTheme="minorEastAsia" w:hAnsiTheme="minorEastAsia"/>
          <w:szCs w:val="21"/>
        </w:rPr>
        <w:t>）国内外举办的</w:t>
      </w:r>
      <w:r>
        <w:rPr>
          <w:rFonts w:hint="eastAsia" w:cs="Times New Roman" w:asciiTheme="minorEastAsia" w:hAnsiTheme="minorEastAsia"/>
          <w:szCs w:val="21"/>
        </w:rPr>
        <w:t>高水平</w:t>
      </w:r>
      <w:r>
        <w:rPr>
          <w:rFonts w:cs="Times New Roman" w:asciiTheme="minorEastAsia" w:hAnsiTheme="minorEastAsia"/>
          <w:szCs w:val="21"/>
        </w:rPr>
        <w:t>国际</w:t>
      </w:r>
      <w:r>
        <w:rPr>
          <w:rFonts w:hint="eastAsia" w:cs="Times New Roman" w:asciiTheme="minorEastAsia" w:hAnsiTheme="minorEastAsia"/>
          <w:szCs w:val="21"/>
        </w:rPr>
        <w:t>学术</w:t>
      </w:r>
      <w:r>
        <w:rPr>
          <w:rFonts w:cs="Times New Roman" w:asciiTheme="minorEastAsia" w:hAnsiTheme="minorEastAsia"/>
          <w:szCs w:val="21"/>
        </w:rPr>
        <w:t>会议（参加、投稿被书面收录、壁报、小组发言、大会发言，均被认可，但需提供详细的书面证明邀请信、参会照片、收录节选、壁报展示及照片、小组发言或大会发言照片等）；</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5</w:t>
      </w:r>
      <w:r>
        <w:rPr>
          <w:rFonts w:ascii="Times New Roman" w:hAnsi="Times New Roman" w:cs="Times New Roman"/>
          <w:szCs w:val="21"/>
        </w:rPr>
        <w:t>）</w:t>
      </w:r>
      <w:r>
        <w:rPr>
          <w:rFonts w:hint="eastAsia" w:cs="Times New Roman" w:asciiTheme="minorEastAsia" w:hAnsiTheme="minorEastAsia"/>
          <w:szCs w:val="21"/>
        </w:rPr>
        <w:t>选修国外高校全英文在线课程（</w:t>
      </w:r>
      <w:r>
        <w:rPr>
          <w:rFonts w:hint="eastAsia" w:ascii="Times New Roman" w:hAnsi="Times New Roman" w:cs="Times New Roman"/>
          <w:szCs w:val="21"/>
        </w:rPr>
        <w:t>MOOC</w:t>
      </w:r>
      <w:r>
        <w:rPr>
          <w:rFonts w:hint="eastAsia" w:cs="Times New Roman" w:asciiTheme="minorEastAsia" w:hAnsiTheme="minorEastAsia"/>
          <w:szCs w:val="21"/>
        </w:rPr>
        <w:t>），并取得合格证书；</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6</w:t>
      </w:r>
      <w:r>
        <w:rPr>
          <w:rFonts w:cs="Times New Roman" w:asciiTheme="minorEastAsia" w:hAnsiTheme="minorEastAsia"/>
          <w:szCs w:val="21"/>
        </w:rPr>
        <w:t>）</w:t>
      </w:r>
      <w:r>
        <w:rPr>
          <w:rFonts w:hint="eastAsia" w:cs="Times New Roman" w:asciiTheme="minorEastAsia" w:hAnsiTheme="minorEastAsia"/>
          <w:szCs w:val="21"/>
        </w:rPr>
        <w:t>参加国际专业竞赛并获奖。</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6．文献</w:t>
      </w:r>
      <w:r>
        <w:rPr>
          <w:rFonts w:ascii="Times New Roman" w:hAnsi="Times New Roman" w:eastAsia="宋体" w:cs="Times New Roman"/>
          <w:b/>
          <w:bCs/>
          <w:szCs w:val="21"/>
        </w:rPr>
        <w:t>阅读</w:t>
      </w:r>
    </w:p>
    <w:p>
      <w:pPr>
        <w:keepNext w:val="0"/>
        <w:keepLines w:val="0"/>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博士研究生</w:t>
      </w:r>
      <w:r>
        <w:rPr>
          <w:rFonts w:ascii="Times New Roman" w:hAnsi="Times New Roman" w:eastAsia="宋体" w:cs="Times New Roman"/>
          <w:szCs w:val="21"/>
        </w:rPr>
        <w:t>在第</w:t>
      </w:r>
      <w:r>
        <w:rPr>
          <w:rFonts w:hint="eastAsia" w:ascii="Times New Roman" w:hAnsi="Times New Roman" w:eastAsia="宋体" w:cs="Times New Roman"/>
          <w:szCs w:val="21"/>
        </w:rPr>
        <w:t>三</w:t>
      </w:r>
      <w:r>
        <w:rPr>
          <w:rFonts w:ascii="Times New Roman" w:hAnsi="Times New Roman" w:eastAsia="宋体" w:cs="Times New Roman"/>
          <w:szCs w:val="21"/>
        </w:rPr>
        <w:t>学</w:t>
      </w:r>
      <w:r>
        <w:rPr>
          <w:rFonts w:hint="eastAsia" w:ascii="Times New Roman" w:hAnsi="Times New Roman" w:eastAsia="宋体" w:cs="Times New Roman"/>
          <w:szCs w:val="21"/>
        </w:rPr>
        <w:t>期</w:t>
      </w:r>
      <w:r>
        <w:rPr>
          <w:rFonts w:ascii="Times New Roman" w:hAnsi="Times New Roman" w:eastAsia="宋体" w:cs="Times New Roman"/>
          <w:szCs w:val="21"/>
        </w:rPr>
        <w:t>完成</w:t>
      </w:r>
      <w:r>
        <w:rPr>
          <w:rFonts w:hint="eastAsia" w:ascii="Times New Roman" w:hAnsi="Times New Roman" w:eastAsia="宋体" w:cs="Times New Roman"/>
          <w:szCs w:val="21"/>
        </w:rPr>
        <w:t>文献阅读</w:t>
      </w:r>
      <w:r>
        <w:rPr>
          <w:rFonts w:ascii="Times New Roman" w:hAnsi="Times New Roman" w:eastAsia="宋体" w:cs="Times New Roman"/>
          <w:szCs w:val="21"/>
        </w:rPr>
        <w:t>考核</w:t>
      </w:r>
      <w:r>
        <w:rPr>
          <w:rFonts w:hint="eastAsia" w:ascii="Times New Roman" w:hAnsi="Times New Roman" w:eastAsia="宋体" w:cs="Times New Roman"/>
          <w:szCs w:val="21"/>
        </w:rPr>
        <w:t>。</w:t>
      </w:r>
    </w:p>
    <w:p>
      <w:pPr>
        <w:keepNext w:val="0"/>
        <w:keepLines w:val="0"/>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文献阅读是引领研究生特别是博士生夯实学术根基、迅速进入学科专业研究领域和培养研究生科研素养的重要手段，是课程知识扩展和补充的重要方式。学生入学后</w:t>
      </w:r>
      <w:r>
        <w:rPr>
          <w:rFonts w:ascii="Times New Roman" w:hAnsi="Times New Roman" w:eastAsia="宋体" w:cs="Times New Roman"/>
          <w:szCs w:val="21"/>
        </w:rPr>
        <w:t>结合学科发展和论文研究方向，在导师指导下阅读国内外文献资料。</w:t>
      </w:r>
      <w:r>
        <w:rPr>
          <w:rFonts w:hint="eastAsia" w:ascii="Times New Roman" w:hAnsi="Times New Roman" w:eastAsia="宋体" w:cs="Times New Roman"/>
          <w:szCs w:val="21"/>
        </w:rPr>
        <w:t>考核形式采用提交文献综述形式（要求字数不少于</w:t>
      </w:r>
      <w:r>
        <w:rPr>
          <w:rFonts w:ascii="Times New Roman" w:hAnsi="Times New Roman" w:eastAsia="宋体" w:cs="Times New Roman"/>
          <w:szCs w:val="21"/>
        </w:rPr>
        <w:t>5000</w:t>
      </w:r>
      <w:r>
        <w:rPr>
          <w:rFonts w:hint="eastAsia" w:ascii="Times New Roman" w:hAnsi="Times New Roman" w:eastAsia="宋体" w:cs="Times New Roman"/>
          <w:szCs w:val="21"/>
        </w:rPr>
        <w:t>字，参考文献应包含中文文献和外文文献，综述文献不少于</w:t>
      </w:r>
      <w:r>
        <w:rPr>
          <w:rFonts w:ascii="Times New Roman" w:hAnsi="Times New Roman" w:eastAsia="宋体" w:cs="Times New Roman"/>
          <w:szCs w:val="21"/>
        </w:rPr>
        <w:t>60</w:t>
      </w:r>
      <w:r>
        <w:rPr>
          <w:rFonts w:hint="eastAsia" w:ascii="Times New Roman" w:hAnsi="Times New Roman" w:eastAsia="宋体" w:cs="Times New Roman"/>
          <w:szCs w:val="21"/>
        </w:rPr>
        <w:t>篇），导师签字确认后提交，学院组织评审专家对综述报告的选题、格式、内容以及书面表达能力等进行评审，审核通过者，记</w:t>
      </w:r>
      <w:r>
        <w:rPr>
          <w:rFonts w:ascii="Times New Roman" w:hAnsi="Times New Roman" w:eastAsia="宋体" w:cs="Times New Roman"/>
          <w:szCs w:val="21"/>
        </w:rPr>
        <w:t>2</w:t>
      </w:r>
      <w:r>
        <w:rPr>
          <w:rFonts w:hint="eastAsia" w:ascii="Times New Roman" w:hAnsi="Times New Roman" w:eastAsia="宋体" w:cs="Times New Roman"/>
          <w:szCs w:val="21"/>
        </w:rPr>
        <w:t>学分。审核未通过者，按照专家审核意见完成修改后提交学院进行二次评审。经两次审核都未通过者，不记入学分。考核工作由医学部各学院统一安排。</w:t>
      </w:r>
    </w:p>
    <w:p>
      <w:pPr>
        <w:keepNext w:val="0"/>
        <w:keepLines w:val="0"/>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文献阅读考核需在博士生中期考核前完成考核。</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7</w:t>
      </w:r>
      <w:r>
        <w:rPr>
          <w:rFonts w:hint="eastAsia" w:ascii="Times New Roman" w:hAnsi="Times New Roman" w:eastAsia="宋体" w:cs="Times New Roman"/>
          <w:b/>
          <w:bCs/>
          <w:szCs w:val="21"/>
        </w:rPr>
        <w:t>．</w:t>
      </w:r>
      <w:r>
        <w:rPr>
          <w:rFonts w:ascii="Times New Roman" w:hAnsi="Times New Roman" w:eastAsia="宋体" w:cs="Times New Roman"/>
          <w:b/>
          <w:bCs/>
          <w:szCs w:val="21"/>
        </w:rPr>
        <w:t>开题报告</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开题报告一般应在第三学期前完成，具体时间由导师或院系决定，并上报学院（系）教学管理部门备案。从开题报告通过至申请论文答辩的时间一般不少于一年。开题报告由医学部各学院（系）组织，应以学术活动的形式在学院（系）内公开进行，并邀请相关教师和研究生参加。各学院（系）邀请本学院督导列席旁听并打分。开题报告评审专家小组由3-5名校内外博士生导师组成（导师及导师团队成员为主体）。考查内容包括：文献综述、选题意义与科学依据、研究基础、研究内容与计划、工作难点及特色、预期成果以及可能产生的创新点、论文选题与学科的匹配度等。经评审通过的开题报告，须以书面形式交医学部人才培养处审核备案。</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8</w:t>
      </w:r>
      <w:r>
        <w:rPr>
          <w:rFonts w:hint="eastAsia" w:ascii="Times New Roman" w:hAnsi="Times New Roman" w:eastAsia="宋体" w:cs="Times New Roman"/>
          <w:b/>
          <w:bCs/>
          <w:szCs w:val="21"/>
        </w:rPr>
        <w:t>．</w:t>
      </w:r>
      <w:r>
        <w:rPr>
          <w:rFonts w:ascii="Times New Roman" w:hAnsi="Times New Roman" w:eastAsia="宋体" w:cs="Times New Roman"/>
          <w:b/>
          <w:bCs/>
          <w:szCs w:val="21"/>
        </w:rPr>
        <w:t>中期考核</w:t>
      </w:r>
    </w:p>
    <w:p>
      <w:pPr>
        <w:keepNext w:val="0"/>
        <w:keepLines w:val="0"/>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中期考核一般安排在第四学期（贯通培养研究生转为博士生培养后可在第三学期，以直攻博方式进入贯通式培养体系的学生，自第三学年起至第四学年末完成中期考核）进行。中期考核由院系组织，应以学术活动的形式公开进行，考核小组由5-7名本学科或相关学科博士生导师组成。中期考核内容包括：学科基础综合考试（含学科基础文献集阅读）、业务表现与论文工作进展、论文选题与学科的匹配度、综合能力等方面。研究生提交由导师签字的课程成绩、课题研究进展报告等书面材料后，方可参加中期考核。中期考核所有评审材料，须在医学部人才培养处审核备案。</w:t>
      </w:r>
    </w:p>
    <w:p>
      <w:pPr>
        <w:keepNext w:val="0"/>
        <w:keepLines w:val="0"/>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博士研究生应按时参加中期考核，如有特殊情况需延期参加，须本人申请并获得批准后参加补考核，具体时间由医学部人才培养处确定。</w:t>
      </w:r>
    </w:p>
    <w:p>
      <w:pPr>
        <w:keepNext w:val="0"/>
        <w:keepLines w:val="0"/>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中期考核具体要求参照《西安交通大学关于博士研究生中期考核的若干规定》（西交研〔2014〕25号）执行。</w:t>
      </w:r>
    </w:p>
    <w:p>
      <w:pPr>
        <w:keepNext w:val="0"/>
        <w:keepLines w:val="0"/>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研究生的开题报告和中期报告中应包含实验安全风险评估的内容。</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9</w:t>
      </w:r>
      <w:r>
        <w:rPr>
          <w:rFonts w:hint="eastAsia" w:ascii="Times New Roman" w:hAnsi="Times New Roman" w:eastAsia="宋体" w:cs="Times New Roman"/>
          <w:b/>
          <w:bCs/>
          <w:szCs w:val="21"/>
        </w:rPr>
        <w:t>．</w:t>
      </w:r>
      <w:r>
        <w:rPr>
          <w:rFonts w:ascii="Times New Roman" w:hAnsi="Times New Roman" w:eastAsia="宋体" w:cs="Times New Roman"/>
          <w:b/>
          <w:bCs/>
          <w:szCs w:val="21"/>
        </w:rPr>
        <w:t>最终学术报告（预答辩）</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博士研究生完成学位论文后，须在医学部或医学部各院（系）范围内进行公开预答辩，报告自己的研究成果。预答辩专家组由5名本学科或相关学科专家组成，其中至少3人为博士生导师。各学院（系）邀请本学院督导或相关学科专家列席旁听。在预答辩中，须严格审查论文选题的前沿性、理论及现实意义，学位论文是否有独立见解，学位论文的工作量，研究工作的系统性、完整性，论文选题与学科的匹配度等。</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对预答辩中提出的问题，博士研究生应认真修改与补充，填写修改说明表，经导师签字同意并报预答辩专家组组长签字同意后，方可进入论文评阅、答辩环节。对于未获得通过的学位论文，博士研究生应修改后重新进行预答辩。</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对于未获得通过和</w:t>
      </w:r>
      <w:r>
        <w:rPr>
          <w:rFonts w:cs="Times New Roman" w:asciiTheme="minorEastAsia" w:hAnsiTheme="minorEastAsia"/>
          <w:szCs w:val="21"/>
        </w:rPr>
        <w:t>问题较多的学位论文要经过研究生修改后重新组织预答辩。</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预答辩具体参照《西安交通大学学位授予工作暂行办法》（西交研〔2003〕14号）执行。</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b/>
          <w:bCs w:val="0"/>
          <w:szCs w:val="21"/>
        </w:rPr>
      </w:pPr>
      <w:r>
        <w:rPr>
          <w:rFonts w:ascii="Times New Roman" w:hAnsi="Times New Roman" w:eastAsia="宋体"/>
          <w:b/>
          <w:bCs w:val="0"/>
          <w:szCs w:val="21"/>
        </w:rPr>
        <w:t>10.体育、美育、劳动教育</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bCs/>
          <w:szCs w:val="21"/>
        </w:rPr>
      </w:pPr>
      <w:r>
        <w:rPr>
          <w:rFonts w:hint="eastAsia" w:ascii="Times New Roman" w:hAnsi="Times New Roman" w:eastAsia="宋体"/>
          <w:bCs/>
          <w:szCs w:val="21"/>
        </w:rPr>
        <w:t>研究生依据当年的体育、美育、劳动教育研修指南，结合个人兴趣爱好和培养计划安排，制定个人体育、美育、劳动教育环节研修计划并开展研修，由体育、美育、劳动教育牵头单位对环节是否“通过”给予认定。</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11</w:t>
      </w:r>
      <w:r>
        <w:rPr>
          <w:rFonts w:hint="eastAsia" w:ascii="Times New Roman" w:hAnsi="Times New Roman" w:eastAsia="宋体" w:cs="Times New Roman"/>
          <w:b/>
          <w:bCs/>
          <w:szCs w:val="21"/>
        </w:rPr>
        <w:t>．</w:t>
      </w:r>
      <w:r>
        <w:rPr>
          <w:rFonts w:ascii="Times New Roman" w:hAnsi="Times New Roman" w:eastAsia="宋体" w:cs="Times New Roman"/>
          <w:b/>
          <w:bCs/>
          <w:szCs w:val="21"/>
        </w:rPr>
        <w:t>学术论文</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博士生应在导师的指导下，根据研究方向确定研究课题，课题需结合国民经济发展需求和学科发展趋势，具有前瞻性和理论价值，达到本学科前沿，博士研究生应独立完成具有一定学术水平和价值的学位论文。论文答辩</w:t>
      </w:r>
      <w:r>
        <w:rPr>
          <w:rFonts w:hint="eastAsia" w:cs="Times New Roman" w:asciiTheme="minorEastAsia" w:hAnsiTheme="minorEastAsia"/>
          <w:szCs w:val="21"/>
        </w:rPr>
        <w:t>具体参照</w:t>
      </w:r>
      <w:r>
        <w:rPr>
          <w:rFonts w:cs="Times New Roman" w:asciiTheme="minorEastAsia" w:hAnsiTheme="minorEastAsia"/>
          <w:szCs w:val="21"/>
        </w:rPr>
        <w:t>《西安交通大学学位授予工作暂行办法》（西交研〔2003〕14号）执行。</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p>
    <w:p>
      <w:pPr>
        <w:keepNext w:val="0"/>
        <w:keepLines w:val="0"/>
        <w:pageBreakBefore w:val="0"/>
        <w:widowControl w:val="0"/>
        <w:kinsoku/>
        <w:wordWrap/>
        <w:overflowPunct/>
        <w:topLinePunct w:val="0"/>
        <w:autoSpaceDE/>
        <w:autoSpaceDN/>
        <w:bidi w:val="0"/>
        <w:adjustRightInd/>
        <w:snapToGrid/>
        <w:spacing w:before="100" w:after="100" w:line="286" w:lineRule="auto"/>
        <w:jc w:val="center"/>
        <w:textAlignment w:val="auto"/>
        <w:rPr>
          <w:rFonts w:ascii="楷体_GB2312" w:hAnsi="Times New Roman" w:eastAsia="楷体_GB2312" w:cs="Times New Roman"/>
          <w:b/>
          <w:bCs/>
          <w:sz w:val="28"/>
          <w:szCs w:val="28"/>
        </w:rPr>
      </w:pPr>
      <w:r>
        <w:rPr>
          <w:rFonts w:hint="eastAsia" w:ascii="楷体_GB2312" w:hAnsi="Times New Roman" w:eastAsia="楷体_GB2312" w:cs="Times New Roman"/>
          <w:b/>
          <w:bCs/>
          <w:sz w:val="28"/>
          <w:szCs w:val="28"/>
        </w:rPr>
        <w:t>★</w:t>
      </w:r>
      <w:r>
        <w:rPr>
          <w:rFonts w:ascii="楷体_GB2312" w:hAnsi="Times New Roman" w:eastAsia="楷体_GB2312" w:cs="Times New Roman"/>
          <w:b/>
          <w:bCs/>
          <w:sz w:val="28"/>
          <w:szCs w:val="28"/>
        </w:rPr>
        <w:t>公共卫生与预防医学（1004）攻读博士学位（学术型）</w:t>
      </w:r>
    </w:p>
    <w:p>
      <w:pPr>
        <w:keepNext w:val="0"/>
        <w:keepLines w:val="0"/>
        <w:pageBreakBefore w:val="0"/>
        <w:widowControl w:val="0"/>
        <w:kinsoku/>
        <w:wordWrap/>
        <w:overflowPunct/>
        <w:topLinePunct w:val="0"/>
        <w:autoSpaceDE/>
        <w:autoSpaceDN/>
        <w:bidi w:val="0"/>
        <w:adjustRightInd/>
        <w:snapToGrid/>
        <w:spacing w:before="100" w:after="100" w:line="286" w:lineRule="auto"/>
        <w:jc w:val="center"/>
        <w:textAlignment w:val="auto"/>
        <w:rPr>
          <w:rFonts w:ascii="楷体_GB2312" w:hAnsi="Times New Roman" w:eastAsia="楷体_GB2312" w:cs="Times New Roman"/>
          <w:b/>
          <w:bCs/>
          <w:sz w:val="28"/>
          <w:szCs w:val="28"/>
        </w:rPr>
      </w:pPr>
      <w:r>
        <w:rPr>
          <w:rFonts w:ascii="楷体_GB2312" w:hAnsi="Times New Roman" w:eastAsia="楷体_GB2312" w:cs="Times New Roman"/>
          <w:b/>
          <w:bCs/>
          <w:sz w:val="28"/>
          <w:szCs w:val="28"/>
        </w:rPr>
        <w:t>研究生培养方案</w:t>
      </w:r>
    </w:p>
    <w:p>
      <w:pPr>
        <w:spacing w:before="120" w:beforeLines="50" w:after="120" w:afterLines="50" w:line="286" w:lineRule="auto"/>
        <w:rPr>
          <w:rFonts w:ascii="黑体" w:hAnsi="黑体" w:eastAsia="黑体"/>
          <w:sz w:val="24"/>
          <w:szCs w:val="24"/>
        </w:rPr>
      </w:pPr>
      <w:bookmarkStart w:id="162" w:name="_Toc392774720"/>
      <w:bookmarkStart w:id="163" w:name="_Toc487802503"/>
      <w:bookmarkStart w:id="164" w:name="_Toc422988820"/>
      <w:bookmarkStart w:id="165" w:name="_Toc534577261"/>
      <w:bookmarkStart w:id="166" w:name="_Toc393276246"/>
      <w:bookmarkStart w:id="167" w:name="_Toc423012021"/>
      <w:bookmarkStart w:id="168" w:name="_Toc393120839"/>
      <w:bookmarkStart w:id="169" w:name="_Toc520822621"/>
      <w:bookmarkStart w:id="170" w:name="_Toc392596076"/>
      <w:bookmarkStart w:id="171" w:name="_Toc422842496"/>
      <w:bookmarkStart w:id="172" w:name="_Toc422409368"/>
      <w:bookmarkStart w:id="173" w:name="_Toc393211224"/>
      <w:bookmarkStart w:id="174" w:name="_Toc392579516"/>
      <w:bookmarkStart w:id="175" w:name="_Toc534657592"/>
      <w:bookmarkStart w:id="176" w:name="_Toc392837595"/>
      <w:bookmarkStart w:id="177" w:name="_Toc519846401"/>
      <w:bookmarkStart w:id="178" w:name="_Toc392086437"/>
      <w:bookmarkStart w:id="179" w:name="_Toc392664195"/>
      <w:r>
        <w:rPr>
          <w:rFonts w:ascii="黑体" w:hAnsi="黑体" w:eastAsia="黑体"/>
          <w:sz w:val="24"/>
          <w:szCs w:val="24"/>
        </w:rPr>
        <w:t>一、培养目标</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秉承“扎根西部、服务国家、区域引领、世界一流”的办学定位，公共卫生与预防医学博士生培养目标为：以科研创新能力培养为主，坚持德智体美劳全面发展，培养造就具有强烈社会责任感的公共卫生与预防医学研究领域德才兼备的高层次创新型人才。</w:t>
      </w:r>
      <w:r>
        <w:rPr>
          <w:rFonts w:cs="Times New Roman" w:asciiTheme="minorEastAsia" w:hAnsiTheme="minorEastAsia"/>
          <w:szCs w:val="21"/>
        </w:rPr>
        <w:t>具体要求是：</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1．</w:t>
      </w:r>
      <w:r>
        <w:rPr>
          <w:rFonts w:hint="eastAsia" w:cs="Times New Roman" w:asciiTheme="minorEastAsia" w:hAnsiTheme="minorEastAsia"/>
          <w:szCs w:val="21"/>
        </w:rPr>
        <w:t>掌握马克思主义基本原理，学习和贯彻习近平新时代中国特色社会主义思想和系列重要讲话精神，坚定道路自信、理论自信、制度自信、文化自信。热爱祖国，</w:t>
      </w:r>
      <w:r>
        <w:rPr>
          <w:rFonts w:cs="Times New Roman" w:asciiTheme="minorEastAsia" w:hAnsiTheme="minorEastAsia"/>
          <w:szCs w:val="21"/>
        </w:rPr>
        <w:t>遵纪守法</w:t>
      </w:r>
      <w:r>
        <w:rPr>
          <w:rFonts w:hint="eastAsia" w:cs="Times New Roman" w:asciiTheme="minorEastAsia" w:hAnsiTheme="minorEastAsia"/>
          <w:szCs w:val="21"/>
        </w:rPr>
        <w:t>，</w:t>
      </w:r>
      <w:r>
        <w:rPr>
          <w:rFonts w:cs="Times New Roman" w:asciiTheme="minorEastAsia" w:hAnsiTheme="minorEastAsia"/>
          <w:szCs w:val="21"/>
        </w:rPr>
        <w:t>品德</w:t>
      </w:r>
      <w:r>
        <w:rPr>
          <w:rFonts w:hint="eastAsia" w:cs="Times New Roman" w:asciiTheme="minorEastAsia" w:hAnsiTheme="minorEastAsia"/>
          <w:szCs w:val="21"/>
        </w:rPr>
        <w:t>优</w:t>
      </w:r>
      <w:r>
        <w:rPr>
          <w:rFonts w:cs="Times New Roman" w:asciiTheme="minorEastAsia" w:hAnsiTheme="minorEastAsia"/>
          <w:szCs w:val="21"/>
        </w:rPr>
        <w:t>良，治学严谨，</w:t>
      </w:r>
      <w:r>
        <w:rPr>
          <w:rFonts w:hint="eastAsia" w:cs="Times New Roman" w:asciiTheme="minorEastAsia" w:hAnsiTheme="minorEastAsia"/>
          <w:szCs w:val="21"/>
        </w:rPr>
        <w:t>学风端正，</w:t>
      </w:r>
      <w:r>
        <w:rPr>
          <w:rFonts w:cs="Times New Roman" w:asciiTheme="minorEastAsia" w:hAnsiTheme="minorEastAsia"/>
          <w:szCs w:val="21"/>
        </w:rPr>
        <w:t>有献身于科学研究的强烈事业心和创新精神</w:t>
      </w:r>
      <w:r>
        <w:rPr>
          <w:rFonts w:hint="eastAsia" w:cs="Times New Roman" w:asciiTheme="minorEastAsia" w:hAnsiTheme="minorEastAsia"/>
          <w:szCs w:val="21"/>
        </w:rPr>
        <w:t>。</w:t>
      </w:r>
      <w:r>
        <w:rPr>
          <w:rFonts w:cs="Times New Roman" w:asciiTheme="minorEastAsia" w:hAnsiTheme="minorEastAsia"/>
          <w:szCs w:val="21"/>
        </w:rPr>
        <w:t>具有健康的体魄和良好的心理素质</w:t>
      </w:r>
      <w:r>
        <w:rPr>
          <w:rFonts w:hint="eastAsia" w:cs="Times New Roman" w:asciiTheme="minorEastAsia" w:hAnsiTheme="minorEastAsia"/>
          <w:szCs w:val="21"/>
        </w:rPr>
        <w:t>，愿积极为祖国公共卫生事业发展贡献自己的才智</w:t>
      </w:r>
      <w:r>
        <w:rPr>
          <w:rFonts w:cs="Times New Roman" w:asciiTheme="minorEastAsia" w:hAnsiTheme="minorEastAsia"/>
          <w:szCs w:val="21"/>
        </w:rPr>
        <w:t>。</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2．具有扎实的基础理论，掌握</w:t>
      </w:r>
      <w:r>
        <w:rPr>
          <w:rFonts w:hint="eastAsia" w:cs="Times New Roman" w:asciiTheme="minorEastAsia" w:hAnsiTheme="minorEastAsia"/>
          <w:szCs w:val="21"/>
        </w:rPr>
        <w:t>本学科的</w:t>
      </w:r>
      <w:r>
        <w:rPr>
          <w:rFonts w:cs="Times New Roman" w:asciiTheme="minorEastAsia" w:hAnsiTheme="minorEastAsia"/>
          <w:szCs w:val="21"/>
        </w:rPr>
        <w:t>专业</w:t>
      </w:r>
      <w:r>
        <w:rPr>
          <w:rFonts w:hint="eastAsia" w:cs="Times New Roman" w:asciiTheme="minorEastAsia" w:hAnsiTheme="minorEastAsia"/>
          <w:szCs w:val="21"/>
        </w:rPr>
        <w:t>基本</w:t>
      </w:r>
      <w:r>
        <w:rPr>
          <w:rFonts w:cs="Times New Roman" w:asciiTheme="minorEastAsia" w:hAnsiTheme="minorEastAsia"/>
          <w:szCs w:val="21"/>
        </w:rPr>
        <w:t>知识和</w:t>
      </w:r>
      <w:r>
        <w:rPr>
          <w:rFonts w:hint="eastAsia" w:cs="Times New Roman" w:asciiTheme="minorEastAsia" w:hAnsiTheme="minorEastAsia"/>
          <w:szCs w:val="21"/>
        </w:rPr>
        <w:t>基本技能。</w:t>
      </w:r>
      <w:r>
        <w:rPr>
          <w:rFonts w:cs="Times New Roman" w:asciiTheme="minorEastAsia" w:hAnsiTheme="minorEastAsia"/>
          <w:szCs w:val="21"/>
        </w:rPr>
        <w:t>能熟练应用各种</w:t>
      </w:r>
      <w:r>
        <w:rPr>
          <w:rFonts w:hint="eastAsia" w:cs="Times New Roman" w:asciiTheme="minorEastAsia" w:hAnsiTheme="minorEastAsia"/>
          <w:szCs w:val="21"/>
        </w:rPr>
        <w:t>医学相关</w:t>
      </w:r>
      <w:r>
        <w:rPr>
          <w:rFonts w:cs="Times New Roman" w:asciiTheme="minorEastAsia" w:hAnsiTheme="minorEastAsia"/>
          <w:szCs w:val="21"/>
        </w:rPr>
        <w:t>数据库</w:t>
      </w:r>
      <w:r>
        <w:rPr>
          <w:rFonts w:hint="eastAsia" w:cs="Times New Roman" w:asciiTheme="minorEastAsia" w:hAnsiTheme="minorEastAsia"/>
          <w:szCs w:val="21"/>
        </w:rPr>
        <w:t>，掌握医学</w:t>
      </w:r>
      <w:r>
        <w:rPr>
          <w:rFonts w:cs="Times New Roman" w:asciiTheme="minorEastAsia" w:hAnsiTheme="minorEastAsia"/>
          <w:szCs w:val="21"/>
        </w:rPr>
        <w:t>文献检索</w:t>
      </w:r>
      <w:r>
        <w:rPr>
          <w:rFonts w:hint="eastAsia" w:cs="Times New Roman" w:asciiTheme="minorEastAsia" w:hAnsiTheme="minorEastAsia"/>
          <w:szCs w:val="21"/>
        </w:rPr>
        <w:t>和管理。</w:t>
      </w:r>
      <w:r>
        <w:rPr>
          <w:rFonts w:cs="Times New Roman" w:asciiTheme="minorEastAsia" w:hAnsiTheme="minorEastAsia"/>
          <w:szCs w:val="21"/>
        </w:rPr>
        <w:t>能熟练地阅读本专业的外文资料，具有一定的</w:t>
      </w:r>
      <w:r>
        <w:rPr>
          <w:rFonts w:hint="eastAsia" w:cs="Times New Roman" w:asciiTheme="minorEastAsia" w:hAnsiTheme="minorEastAsia"/>
          <w:szCs w:val="21"/>
        </w:rPr>
        <w:t>外</w:t>
      </w:r>
      <w:r>
        <w:rPr>
          <w:rFonts w:cs="Times New Roman" w:asciiTheme="minorEastAsia" w:hAnsiTheme="minorEastAsia"/>
          <w:szCs w:val="21"/>
        </w:rPr>
        <w:t>文写作和口语交际能力</w:t>
      </w:r>
      <w:r>
        <w:rPr>
          <w:rFonts w:hint="eastAsia" w:cs="Times New Roman" w:asciiTheme="minorEastAsia" w:hAnsiTheme="minorEastAsia"/>
          <w:szCs w:val="21"/>
        </w:rPr>
        <w:t>。</w:t>
      </w:r>
      <w:r>
        <w:rPr>
          <w:rFonts w:cs="Times New Roman" w:asciiTheme="minorEastAsia" w:hAnsiTheme="minorEastAsia"/>
          <w:szCs w:val="21"/>
        </w:rPr>
        <w:t>具有一定</w:t>
      </w:r>
      <w:r>
        <w:rPr>
          <w:rFonts w:hint="eastAsia" w:cs="Times New Roman" w:asciiTheme="minorEastAsia" w:hAnsiTheme="minorEastAsia"/>
          <w:szCs w:val="21"/>
        </w:rPr>
        <w:t>的人文社会科学</w:t>
      </w:r>
      <w:r>
        <w:rPr>
          <w:rFonts w:cs="Times New Roman" w:asciiTheme="minorEastAsia" w:hAnsiTheme="minorEastAsia"/>
          <w:szCs w:val="21"/>
        </w:rPr>
        <w:t>基本知识。</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3．</w:t>
      </w:r>
      <w:r>
        <w:rPr>
          <w:rFonts w:hint="eastAsia" w:cs="Times New Roman" w:asciiTheme="minorEastAsia" w:hAnsiTheme="minorEastAsia"/>
          <w:szCs w:val="21"/>
        </w:rPr>
        <w:t>具备主动获取知识的意识和能力，能综合运用公共卫生与预防医学理论知识和研究手段，开展科学研究。</w:t>
      </w:r>
      <w:r>
        <w:rPr>
          <w:rFonts w:cs="Times New Roman" w:asciiTheme="minorEastAsia" w:hAnsiTheme="minorEastAsia"/>
          <w:szCs w:val="21"/>
        </w:rPr>
        <w:t>具有</w:t>
      </w:r>
      <w:r>
        <w:rPr>
          <w:rFonts w:hint="eastAsia" w:cs="Times New Roman" w:asciiTheme="minorEastAsia" w:hAnsiTheme="minorEastAsia"/>
          <w:szCs w:val="21"/>
        </w:rPr>
        <w:t>科学</w:t>
      </w:r>
      <w:r>
        <w:rPr>
          <w:rFonts w:cs="Times New Roman" w:asciiTheme="minorEastAsia" w:hAnsiTheme="minorEastAsia"/>
          <w:szCs w:val="21"/>
        </w:rPr>
        <w:t>逻辑思维</w:t>
      </w:r>
      <w:r>
        <w:rPr>
          <w:rFonts w:hint="eastAsia" w:cs="Times New Roman" w:asciiTheme="minorEastAsia" w:hAnsiTheme="minorEastAsia"/>
          <w:szCs w:val="21"/>
        </w:rPr>
        <w:t>、批判思维和较高</w:t>
      </w:r>
      <w:r>
        <w:rPr>
          <w:rFonts w:cs="Times New Roman" w:asciiTheme="minorEastAsia" w:hAnsiTheme="minorEastAsia"/>
          <w:szCs w:val="21"/>
        </w:rPr>
        <w:t>的创新能力，</w:t>
      </w:r>
      <w:r>
        <w:rPr>
          <w:rFonts w:hint="eastAsia" w:cs="Times New Roman" w:asciiTheme="minorEastAsia" w:hAnsiTheme="minorEastAsia"/>
          <w:szCs w:val="21"/>
        </w:rPr>
        <w:t>能够独立从事公共卫生与预防医学及相关领域科学研究工作。具有较强的语言交流和文字表达能力。</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4</w:t>
      </w:r>
      <w:r>
        <w:rPr>
          <w:rFonts w:cs="Times New Roman" w:asciiTheme="minorEastAsia" w:hAnsiTheme="minorEastAsia"/>
          <w:szCs w:val="21"/>
        </w:rPr>
        <w:t xml:space="preserve">. </w:t>
      </w:r>
      <w:r>
        <w:rPr>
          <w:rFonts w:hint="eastAsia" w:cs="Times New Roman" w:asciiTheme="minorEastAsia" w:hAnsiTheme="minorEastAsia"/>
          <w:szCs w:val="21"/>
        </w:rPr>
        <w:t>具有强烈的社会责任感和良好的团队合作精神。能够运用其他学科的前沿知识和先进技术，开展公共卫生与预防医学交叉融合性的科学研究。具有较强管理沟通和教学能力，能够有效利用各种资源提高工作效率。</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80" w:firstLineChars="200"/>
        <w:textAlignment w:val="auto"/>
        <w:rPr>
          <w:rFonts w:ascii="黑体" w:hAnsi="黑体" w:eastAsia="黑体"/>
          <w:sz w:val="24"/>
          <w:szCs w:val="24"/>
        </w:rPr>
      </w:pPr>
      <w:bookmarkStart w:id="180" w:name="_Toc422988821"/>
      <w:bookmarkStart w:id="181" w:name="_Toc392664196"/>
      <w:bookmarkStart w:id="182" w:name="_Toc520822622"/>
      <w:bookmarkStart w:id="183" w:name="_Toc487802504"/>
      <w:bookmarkStart w:id="184" w:name="_Toc392837596"/>
      <w:bookmarkStart w:id="185" w:name="_Toc422409369"/>
      <w:bookmarkStart w:id="186" w:name="_Toc534577262"/>
      <w:bookmarkStart w:id="187" w:name="_Toc519846402"/>
      <w:bookmarkStart w:id="188" w:name="_Toc392596077"/>
      <w:bookmarkStart w:id="189" w:name="_Toc393211225"/>
      <w:bookmarkStart w:id="190" w:name="_Toc393120840"/>
      <w:bookmarkStart w:id="191" w:name="_Toc393276247"/>
      <w:bookmarkStart w:id="192" w:name="_Toc392579517"/>
      <w:bookmarkStart w:id="193" w:name="_Toc423012022"/>
      <w:bookmarkStart w:id="194" w:name="_Toc392774721"/>
      <w:bookmarkStart w:id="195" w:name="_Toc422842497"/>
      <w:bookmarkStart w:id="196" w:name="_Toc534657593"/>
      <w:bookmarkStart w:id="197" w:name="_Toc392086438"/>
      <w:r>
        <w:rPr>
          <w:rFonts w:ascii="黑体" w:hAnsi="黑体" w:eastAsia="黑体"/>
          <w:sz w:val="24"/>
          <w:szCs w:val="24"/>
        </w:rPr>
        <w:t>二、研究方向</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1．流行病与卫生统计学；</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2．劳动卫生与环境卫生学；</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3．营养与食品卫生学；</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4．儿少卫生与妇幼保健学；</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5．卫生毒理学</w:t>
      </w:r>
      <w:r>
        <w:rPr>
          <w:rFonts w:hint="eastAsia"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 xml:space="preserve"> </w:t>
      </w:r>
      <w:r>
        <w:rPr>
          <w:rFonts w:hint="eastAsia" w:ascii="Times New Roman" w:hAnsi="Times New Roman" w:eastAsia="宋体" w:cs="Times New Roman"/>
          <w:szCs w:val="21"/>
        </w:rPr>
        <w:t>人工智能与健康大数据(交叉)。</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80" w:firstLineChars="200"/>
        <w:textAlignment w:val="auto"/>
        <w:rPr>
          <w:rFonts w:ascii="黑体" w:hAnsi="黑体" w:eastAsia="黑体"/>
          <w:sz w:val="24"/>
          <w:szCs w:val="24"/>
        </w:rPr>
      </w:pPr>
      <w:bookmarkStart w:id="198" w:name="_Toc422842498"/>
      <w:bookmarkStart w:id="199" w:name="_Toc519846403"/>
      <w:bookmarkStart w:id="200" w:name="_Toc422988822"/>
      <w:bookmarkStart w:id="201" w:name="_Toc422409370"/>
      <w:bookmarkStart w:id="202" w:name="_Toc392664197"/>
      <w:bookmarkStart w:id="203" w:name="_Toc393120841"/>
      <w:bookmarkStart w:id="204" w:name="_Toc392086439"/>
      <w:bookmarkStart w:id="205" w:name="_Toc392596078"/>
      <w:bookmarkStart w:id="206" w:name="_Toc487802505"/>
      <w:bookmarkStart w:id="207" w:name="_Toc392579518"/>
      <w:bookmarkStart w:id="208" w:name="_Toc423012023"/>
      <w:bookmarkStart w:id="209" w:name="_Toc520822623"/>
      <w:bookmarkStart w:id="210" w:name="_Toc534577263"/>
      <w:bookmarkStart w:id="211" w:name="_Toc393211226"/>
      <w:bookmarkStart w:id="212" w:name="_Toc392774722"/>
      <w:bookmarkStart w:id="213" w:name="_Toc534657594"/>
      <w:bookmarkStart w:id="214" w:name="_Toc392837597"/>
      <w:bookmarkStart w:id="215" w:name="_Toc393276248"/>
      <w:r>
        <w:rPr>
          <w:rFonts w:ascii="黑体" w:hAnsi="黑体" w:eastAsia="黑体"/>
          <w:sz w:val="24"/>
          <w:szCs w:val="24"/>
        </w:rPr>
        <w:t>三、学习年限</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本专业博士生的学习年限一般为3-5年，第一学年学习专业基础理论，掌握进行科研所必需的基本技能并写出文献综述。从第二年开始，在导师指导下进入课题研究和学位论文准备阶段。从事课题研究工作（选题、实验设计、实验操作、数据处理、结果分析总结、论文撰写等）的时间不得少于2年。</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80" w:firstLineChars="200"/>
        <w:textAlignment w:val="auto"/>
        <w:rPr>
          <w:rFonts w:ascii="黑体" w:hAnsi="黑体" w:eastAsia="黑体"/>
          <w:sz w:val="24"/>
          <w:szCs w:val="24"/>
        </w:rPr>
      </w:pPr>
      <w:bookmarkStart w:id="216" w:name="_Toc422842499"/>
      <w:bookmarkStart w:id="217" w:name="_Toc534577264"/>
      <w:bookmarkStart w:id="218" w:name="_Toc392837598"/>
      <w:bookmarkStart w:id="219" w:name="_Toc422988823"/>
      <w:bookmarkStart w:id="220" w:name="_Toc487802506"/>
      <w:bookmarkStart w:id="221" w:name="_Toc519846404"/>
      <w:bookmarkStart w:id="222" w:name="_Toc393276249"/>
      <w:bookmarkStart w:id="223" w:name="_Toc423012024"/>
      <w:bookmarkStart w:id="224" w:name="_Toc392596079"/>
      <w:bookmarkStart w:id="225" w:name="_Toc534657595"/>
      <w:bookmarkStart w:id="226" w:name="_Toc422409371"/>
      <w:bookmarkStart w:id="227" w:name="_Toc393211227"/>
      <w:bookmarkStart w:id="228" w:name="_Toc393120842"/>
      <w:bookmarkStart w:id="229" w:name="_Toc392664198"/>
      <w:bookmarkStart w:id="230" w:name="_Toc520822624"/>
      <w:bookmarkStart w:id="231" w:name="_Toc392774723"/>
      <w:bookmarkStart w:id="232" w:name="_Toc392086440"/>
      <w:bookmarkStart w:id="233" w:name="_Toc392579519"/>
      <w:r>
        <w:rPr>
          <w:rFonts w:ascii="黑体" w:hAnsi="黑体" w:eastAsia="黑体"/>
          <w:sz w:val="24"/>
          <w:szCs w:val="24"/>
        </w:rPr>
        <w:t>四、培养方式</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1</w:t>
      </w:r>
      <w:r>
        <w:rPr>
          <w:rFonts w:ascii="Times New Roman" w:hAnsi="Times New Roman" w:eastAsia="宋体" w:cs="Times New Roman"/>
          <w:szCs w:val="21"/>
        </w:rPr>
        <w:t>．</w:t>
      </w:r>
      <w:r>
        <w:rPr>
          <w:rFonts w:cs="Times New Roman" w:asciiTheme="minorEastAsia" w:hAnsiTheme="minorEastAsia"/>
          <w:szCs w:val="21"/>
        </w:rPr>
        <w:t>导师小组联合指导，导师负责制。各系、中心应成立以博士生导师为</w:t>
      </w:r>
      <w:r>
        <w:rPr>
          <w:rFonts w:ascii="Times New Roman" w:hAnsi="Times New Roman" w:cs="Times New Roman"/>
          <w:szCs w:val="21"/>
        </w:rPr>
        <w:t>主5</w:t>
      </w:r>
      <w:r>
        <w:rPr>
          <w:rFonts w:cs="Times New Roman" w:asciiTheme="minorEastAsia" w:hAnsiTheme="minorEastAsia"/>
          <w:szCs w:val="21"/>
        </w:rPr>
        <w:t>人指导小组及课题小组的有关成员，共同协助搞好</w:t>
      </w:r>
      <w:r>
        <w:rPr>
          <w:rFonts w:hint="eastAsia" w:cs="Times New Roman" w:asciiTheme="minorEastAsia" w:hAnsiTheme="minorEastAsia"/>
          <w:szCs w:val="21"/>
        </w:rPr>
        <w:t>博士</w:t>
      </w:r>
      <w:r>
        <w:rPr>
          <w:rFonts w:cs="Times New Roman" w:asciiTheme="minorEastAsia" w:hAnsiTheme="minorEastAsia"/>
          <w:szCs w:val="21"/>
        </w:rPr>
        <w:t>研究生的培养工作。</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2</w:t>
      </w:r>
      <w:r>
        <w:rPr>
          <w:rFonts w:ascii="Times New Roman" w:hAnsi="Times New Roman" w:eastAsia="宋体" w:cs="Times New Roman"/>
          <w:szCs w:val="21"/>
        </w:rPr>
        <w:t>．</w:t>
      </w:r>
      <w:r>
        <w:rPr>
          <w:rFonts w:cs="Times New Roman" w:asciiTheme="minorEastAsia" w:hAnsiTheme="minorEastAsia"/>
          <w:szCs w:val="21"/>
        </w:rPr>
        <w:t>课程学习要满足需要的学分；课程包括本专业的基础和前沿课程和开展自己研究工作的必要知识和技术，可采用上课、学术报告、国际交流、讨论等方式。</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3</w:t>
      </w:r>
      <w:r>
        <w:rPr>
          <w:rFonts w:ascii="Times New Roman" w:hAnsi="Times New Roman" w:eastAsia="宋体" w:cs="Times New Roman"/>
          <w:szCs w:val="21"/>
        </w:rPr>
        <w:t>．</w:t>
      </w:r>
      <w:r>
        <w:rPr>
          <w:rFonts w:cs="Times New Roman" w:asciiTheme="minorEastAsia" w:hAnsiTheme="minorEastAsia"/>
          <w:szCs w:val="21"/>
        </w:rPr>
        <w:t>积极鼓励学生参加会议、讲座等，展丰富多彩的科研活动，营造浓郁的科研氛围，提升学生的科研兴趣，增强学生解决重大科学问题的动力。</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4</w:t>
      </w:r>
      <w:r>
        <w:rPr>
          <w:rFonts w:ascii="Times New Roman" w:hAnsi="Times New Roman" w:eastAsia="宋体" w:cs="Times New Roman"/>
          <w:szCs w:val="21"/>
        </w:rPr>
        <w:t>．</w:t>
      </w:r>
      <w:r>
        <w:rPr>
          <w:rFonts w:cs="Times New Roman" w:asciiTheme="minorEastAsia" w:hAnsiTheme="minorEastAsia"/>
          <w:szCs w:val="21"/>
        </w:rPr>
        <w:t>通过课题组、院系的科研汇报会、文献阅读会、小组讨论会，个别指导等形式，逐步强化学生的科研创新能力。</w:t>
      </w:r>
    </w:p>
    <w:p>
      <w:pPr>
        <w:keepNext w:val="0"/>
        <w:keepLines w:val="0"/>
        <w:pageBreakBefore w:val="0"/>
        <w:widowControl w:val="0"/>
        <w:tabs>
          <w:tab w:val="left" w:pos="3900"/>
        </w:tabs>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5</w:t>
      </w:r>
      <w:r>
        <w:rPr>
          <w:rFonts w:ascii="Times New Roman" w:hAnsi="Times New Roman" w:eastAsia="宋体" w:cs="Times New Roman"/>
          <w:szCs w:val="21"/>
        </w:rPr>
        <w:t>．</w:t>
      </w:r>
      <w:r>
        <w:rPr>
          <w:rFonts w:cs="Times New Roman" w:asciiTheme="minorEastAsia" w:hAnsiTheme="minorEastAsia"/>
          <w:szCs w:val="21"/>
        </w:rPr>
        <w:t>加强培养期间的过程管理，第一学年学习专业基础理论，掌握进行科研所必需的基本技能并写出文献综述。从第二年开始在导师指导下进入课题研究和学位论文准备阶段。</w:t>
      </w:r>
      <w:r>
        <w:rPr>
          <w:rFonts w:hint="eastAsia" w:cs="Times New Roman" w:asciiTheme="minorEastAsia" w:hAnsiTheme="minorEastAsia"/>
          <w:szCs w:val="21"/>
        </w:rPr>
        <w:t>博士生</w:t>
      </w:r>
      <w:r>
        <w:rPr>
          <w:rFonts w:cs="Times New Roman" w:asciiTheme="minorEastAsia" w:hAnsiTheme="minorEastAsia"/>
          <w:szCs w:val="21"/>
        </w:rPr>
        <w:t>应在第第四学年末完成博士中期考核。</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bCs/>
          <w:szCs w:val="21"/>
        </w:rPr>
      </w:pPr>
      <w:r>
        <w:rPr>
          <w:rFonts w:ascii="Times New Roman" w:hAnsi="Times New Roman" w:eastAsia="宋体" w:cs="Times New Roman"/>
          <w:szCs w:val="21"/>
        </w:rPr>
        <w:t>可以参加下学期的中期考核，再次考核不过者，予以</w:t>
      </w:r>
      <w:r>
        <w:rPr>
          <w:rFonts w:hint="eastAsia" w:ascii="Times New Roman" w:hAnsi="Times New Roman" w:eastAsia="宋体" w:cs="Times New Roman"/>
          <w:szCs w:val="21"/>
        </w:rPr>
        <w:t>分流</w:t>
      </w:r>
      <w:r>
        <w:rPr>
          <w:rFonts w:ascii="Times New Roman" w:hAnsi="Times New Roman" w:eastAsia="宋体" w:cs="Times New Roman"/>
          <w:szCs w:val="21"/>
        </w:rPr>
        <w:t>处理。</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80" w:firstLineChars="200"/>
        <w:jc w:val="center"/>
        <w:textAlignment w:val="auto"/>
        <w:rPr>
          <w:rFonts w:ascii="黑体" w:hAnsi="黑体" w:eastAsia="黑体"/>
          <w:sz w:val="24"/>
          <w:szCs w:val="24"/>
        </w:rPr>
      </w:pPr>
      <w:bookmarkStart w:id="234" w:name="_Toc520822625"/>
      <w:bookmarkStart w:id="235" w:name="_Toc423012025"/>
      <w:bookmarkStart w:id="236" w:name="_Toc392774724"/>
      <w:bookmarkStart w:id="237" w:name="_Toc422409372"/>
      <w:bookmarkStart w:id="238" w:name="_Toc392579520"/>
      <w:bookmarkStart w:id="239" w:name="_Toc392837599"/>
      <w:bookmarkStart w:id="240" w:name="_Toc422988824"/>
      <w:bookmarkStart w:id="241" w:name="_Toc392664199"/>
      <w:bookmarkStart w:id="242" w:name="_Toc393211228"/>
      <w:bookmarkStart w:id="243" w:name="_Toc393276250"/>
      <w:bookmarkStart w:id="244" w:name="_Toc422842500"/>
      <w:bookmarkStart w:id="245" w:name="_Toc534577265"/>
      <w:bookmarkStart w:id="246" w:name="_Toc392086441"/>
      <w:bookmarkStart w:id="247" w:name="_Toc519846405"/>
      <w:bookmarkStart w:id="248" w:name="_Toc534657596"/>
      <w:bookmarkStart w:id="249" w:name="_Toc392596080"/>
      <w:bookmarkStart w:id="250" w:name="_Toc487802507"/>
      <w:bookmarkStart w:id="251" w:name="_Toc393120843"/>
      <w:r>
        <w:rPr>
          <w:rFonts w:ascii="黑体" w:hAnsi="黑体" w:eastAsia="黑体"/>
          <w:sz w:val="24"/>
          <w:szCs w:val="24"/>
        </w:rPr>
        <w:t>五、课程设置及学分要求</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本学科学术型培养方案共需修满</w:t>
      </w:r>
      <w:r>
        <w:rPr>
          <w:rFonts w:cs="Times New Roman" w:asciiTheme="minorEastAsia" w:hAnsiTheme="minorEastAsia"/>
          <w:szCs w:val="21"/>
        </w:rPr>
        <w:t>27</w:t>
      </w:r>
      <w:r>
        <w:rPr>
          <w:rFonts w:hint="eastAsia" w:cs="Times New Roman" w:asciiTheme="minorEastAsia" w:hAnsiTheme="minorEastAsia"/>
          <w:szCs w:val="21"/>
        </w:rPr>
        <w:t>学分，其中课程学习</w:t>
      </w:r>
      <w:r>
        <w:rPr>
          <w:rFonts w:cs="Times New Roman" w:asciiTheme="minorEastAsia" w:hAnsiTheme="minorEastAsia"/>
          <w:szCs w:val="21"/>
        </w:rPr>
        <w:t>10</w:t>
      </w:r>
      <w:r>
        <w:rPr>
          <w:rFonts w:hint="eastAsia" w:cs="Times New Roman" w:asciiTheme="minorEastAsia" w:hAnsiTheme="minorEastAsia"/>
          <w:szCs w:val="21"/>
        </w:rPr>
        <w:t>学分，必修环节</w:t>
      </w:r>
      <w:r>
        <w:rPr>
          <w:rFonts w:cs="Times New Roman" w:asciiTheme="minorEastAsia" w:hAnsiTheme="minorEastAsia"/>
          <w:szCs w:val="21"/>
        </w:rPr>
        <w:t>17学分</w:t>
      </w:r>
      <w:r>
        <w:rPr>
          <w:rFonts w:hint="eastAsia" w:cs="Times New Roman" w:asciiTheme="minorEastAsia" w:hAnsiTheme="minorEastAsia"/>
          <w:szCs w:val="21"/>
        </w:rPr>
        <w:t>。</w:t>
      </w:r>
      <w:r>
        <w:rPr>
          <w:rFonts w:cs="Times New Roman" w:asciiTheme="minorEastAsia" w:hAnsiTheme="minorEastAsia"/>
          <w:szCs w:val="21"/>
        </w:rPr>
        <w:t>课程学习包括：学位课6学分，选修课4学分。</w:t>
      </w:r>
    </w:p>
    <w:tbl>
      <w:tblPr>
        <w:tblStyle w:val="37"/>
        <w:tblW w:w="4620" w:type="pct"/>
        <w:jc w:val="center"/>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2"/>
        <w:gridCol w:w="436"/>
        <w:gridCol w:w="903"/>
        <w:gridCol w:w="1370"/>
        <w:gridCol w:w="2819"/>
        <w:gridCol w:w="491"/>
        <w:gridCol w:w="960"/>
      </w:tblGrid>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831" w:type="pct"/>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ascii="Times New Roman" w:hAnsi="Times New Roman" w:eastAsia="宋体" w:cs="Times New Roman"/>
                <w:b/>
                <w:szCs w:val="21"/>
              </w:rPr>
            </w:pPr>
            <w:r>
              <w:rPr>
                <w:rFonts w:ascii="Times New Roman" w:hAnsi="Times New Roman" w:eastAsia="宋体" w:cs="Times New Roman"/>
                <w:b/>
                <w:szCs w:val="21"/>
              </w:rPr>
              <w:t>课程性质</w:t>
            </w:r>
          </w:p>
        </w:tc>
        <w:tc>
          <w:tcPr>
            <w:tcW w:w="260" w:type="pct"/>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ascii="Times New Roman" w:hAnsi="Times New Roman" w:eastAsia="宋体" w:cs="Times New Roman"/>
                <w:b/>
                <w:szCs w:val="21"/>
              </w:rPr>
            </w:pPr>
            <w:r>
              <w:rPr>
                <w:rFonts w:ascii="Times New Roman" w:hAnsi="Times New Roman" w:eastAsia="宋体" w:cs="Times New Roman"/>
                <w:b/>
                <w:szCs w:val="21"/>
              </w:rPr>
              <w:t>序号</w:t>
            </w:r>
          </w:p>
        </w:tc>
        <w:tc>
          <w:tcPr>
            <w:tcW w:w="539" w:type="pct"/>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ascii="Times New Roman" w:hAnsi="Times New Roman" w:eastAsia="宋体" w:cs="Times New Roman"/>
                <w:b/>
                <w:szCs w:val="21"/>
              </w:rPr>
            </w:pPr>
            <w:r>
              <w:rPr>
                <w:rFonts w:ascii="Times New Roman" w:hAnsi="Times New Roman" w:eastAsia="宋体" w:cs="Times New Roman"/>
                <w:b/>
                <w:szCs w:val="21"/>
              </w:rPr>
              <w:t>课程编号</w:t>
            </w:r>
          </w:p>
        </w:tc>
        <w:tc>
          <w:tcPr>
            <w:tcW w:w="818" w:type="pct"/>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ascii="Times New Roman" w:hAnsi="Times New Roman" w:eastAsia="宋体" w:cs="Times New Roman"/>
                <w:b/>
                <w:szCs w:val="21"/>
              </w:rPr>
            </w:pPr>
            <w:r>
              <w:rPr>
                <w:rFonts w:hint="eastAsia" w:ascii="Times New Roman" w:hAnsi="Times New Roman" w:eastAsia="宋体" w:cs="Times New Roman"/>
                <w:b/>
                <w:szCs w:val="21"/>
              </w:rPr>
              <w:t>统一编码</w:t>
            </w:r>
          </w:p>
        </w:tc>
        <w:tc>
          <w:tcPr>
            <w:tcW w:w="1683" w:type="pct"/>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ascii="Times New Roman" w:hAnsi="Times New Roman" w:eastAsia="宋体" w:cs="Times New Roman"/>
                <w:b/>
                <w:szCs w:val="21"/>
              </w:rPr>
            </w:pPr>
            <w:r>
              <w:rPr>
                <w:rFonts w:ascii="Times New Roman" w:hAnsi="Times New Roman" w:eastAsia="宋体" w:cs="Times New Roman"/>
                <w:b/>
                <w:szCs w:val="21"/>
              </w:rPr>
              <w:t>课程名称</w:t>
            </w:r>
          </w:p>
        </w:tc>
        <w:tc>
          <w:tcPr>
            <w:tcW w:w="293" w:type="pct"/>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ascii="Times New Roman" w:hAnsi="Times New Roman" w:eastAsia="宋体" w:cs="Times New Roman"/>
                <w:b/>
                <w:szCs w:val="21"/>
              </w:rPr>
            </w:pPr>
            <w:r>
              <w:rPr>
                <w:rFonts w:ascii="Times New Roman" w:hAnsi="Times New Roman" w:eastAsia="宋体" w:cs="Times New Roman"/>
                <w:b/>
                <w:szCs w:val="21"/>
              </w:rPr>
              <w:t>学分</w:t>
            </w:r>
          </w:p>
        </w:tc>
        <w:tc>
          <w:tcPr>
            <w:tcW w:w="573" w:type="pct"/>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ascii="Times New Roman" w:hAnsi="Times New Roman" w:eastAsia="宋体" w:cs="Times New Roman"/>
                <w:b/>
                <w:szCs w:val="21"/>
              </w:rPr>
            </w:pPr>
            <w:r>
              <w:rPr>
                <w:rFonts w:ascii="Times New Roman" w:hAnsi="Times New Roman" w:eastAsia="宋体" w:cs="Times New Roman"/>
                <w:b/>
                <w:szCs w:val="21"/>
              </w:rPr>
              <w:t>应修学分</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1"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公共学位课</w:t>
            </w:r>
          </w:p>
        </w:tc>
        <w:tc>
          <w:tcPr>
            <w:tcW w:w="26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1</w:t>
            </w:r>
          </w:p>
        </w:tc>
        <w:tc>
          <w:tcPr>
            <w:tcW w:w="539"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141006</w:t>
            </w:r>
          </w:p>
        </w:tc>
        <w:tc>
          <w:tcPr>
            <w:tcW w:w="818"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MLMD600114</w:t>
            </w:r>
          </w:p>
        </w:tc>
        <w:tc>
          <w:tcPr>
            <w:tcW w:w="1683" w:type="pct"/>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s="Times New Roman"/>
                <w:szCs w:val="21"/>
              </w:rPr>
            </w:pPr>
            <w:r>
              <w:rPr>
                <w:rFonts w:ascii="Times New Roman" w:hAnsi="Times New Roman" w:eastAsia="宋体" w:cs="Times New Roman"/>
                <w:szCs w:val="21"/>
              </w:rPr>
              <w:t>中国马克思主义与当代</w:t>
            </w:r>
          </w:p>
        </w:tc>
        <w:tc>
          <w:tcPr>
            <w:tcW w:w="293"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573"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2学分</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（必修）</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1" w:type="pct"/>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学科</w:t>
            </w:r>
            <w:r>
              <w:rPr>
                <w:rFonts w:ascii="Times New Roman" w:hAnsi="Times New Roman" w:eastAsia="宋体" w:cs="Times New Roman"/>
                <w:szCs w:val="21"/>
              </w:rPr>
              <w:t>学位课</w:t>
            </w:r>
          </w:p>
        </w:tc>
        <w:tc>
          <w:tcPr>
            <w:tcW w:w="26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1</w:t>
            </w:r>
          </w:p>
        </w:tc>
        <w:tc>
          <w:tcPr>
            <w:tcW w:w="539"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152078</w:t>
            </w:r>
          </w:p>
        </w:tc>
        <w:tc>
          <w:tcPr>
            <w:tcW w:w="818"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BASM611815</w:t>
            </w:r>
          </w:p>
        </w:tc>
        <w:tc>
          <w:tcPr>
            <w:tcW w:w="1683" w:type="pct"/>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s="Times New Roman"/>
                <w:szCs w:val="21"/>
              </w:rPr>
            </w:pPr>
            <w:r>
              <w:rPr>
                <w:rFonts w:ascii="Times New Roman" w:hAnsi="Times New Roman" w:eastAsia="宋体" w:cs="Times New Roman"/>
                <w:szCs w:val="21"/>
              </w:rPr>
              <w:t>诺贝尔奖论文剖析</w:t>
            </w:r>
          </w:p>
        </w:tc>
        <w:tc>
          <w:tcPr>
            <w:tcW w:w="293"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573"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2学分</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（必修）</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1"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c>
          <w:tcPr>
            <w:tcW w:w="26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w:t>
            </w:r>
          </w:p>
        </w:tc>
        <w:tc>
          <w:tcPr>
            <w:tcW w:w="539"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152096</w:t>
            </w:r>
          </w:p>
        </w:tc>
        <w:tc>
          <w:tcPr>
            <w:tcW w:w="818"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PUBH710415</w:t>
            </w:r>
          </w:p>
        </w:tc>
        <w:tc>
          <w:tcPr>
            <w:tcW w:w="1683" w:type="pct"/>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s="Times New Roman"/>
                <w:szCs w:val="21"/>
              </w:rPr>
            </w:pPr>
            <w:r>
              <w:rPr>
                <w:rFonts w:ascii="Times New Roman" w:hAnsi="Times New Roman" w:eastAsia="宋体" w:cs="Times New Roman"/>
                <w:szCs w:val="21"/>
              </w:rPr>
              <w:t>流行病与卫生统计学（2）</w:t>
            </w:r>
          </w:p>
        </w:tc>
        <w:tc>
          <w:tcPr>
            <w:tcW w:w="293"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573" w:type="pct"/>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根据学生的专业选修2学分</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1" w:type="pct"/>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s="Times New Roman"/>
                <w:szCs w:val="21"/>
              </w:rPr>
            </w:pPr>
          </w:p>
        </w:tc>
        <w:tc>
          <w:tcPr>
            <w:tcW w:w="26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2</w:t>
            </w:r>
          </w:p>
        </w:tc>
        <w:tc>
          <w:tcPr>
            <w:tcW w:w="539"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152095</w:t>
            </w:r>
          </w:p>
        </w:tc>
        <w:tc>
          <w:tcPr>
            <w:tcW w:w="818"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PUBH710315</w:t>
            </w:r>
          </w:p>
        </w:tc>
        <w:tc>
          <w:tcPr>
            <w:tcW w:w="1683" w:type="pct"/>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s="Times New Roman"/>
                <w:szCs w:val="21"/>
              </w:rPr>
            </w:pPr>
            <w:r>
              <w:rPr>
                <w:rFonts w:ascii="Times New Roman" w:hAnsi="Times New Roman" w:eastAsia="宋体" w:cs="Times New Roman"/>
                <w:szCs w:val="21"/>
              </w:rPr>
              <w:t>劳动卫生与环境卫生学（2）</w:t>
            </w:r>
          </w:p>
        </w:tc>
        <w:tc>
          <w:tcPr>
            <w:tcW w:w="293"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573"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1" w:type="pct"/>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s="Times New Roman"/>
                <w:szCs w:val="21"/>
              </w:rPr>
            </w:pPr>
          </w:p>
        </w:tc>
        <w:tc>
          <w:tcPr>
            <w:tcW w:w="26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3</w:t>
            </w:r>
          </w:p>
        </w:tc>
        <w:tc>
          <w:tcPr>
            <w:tcW w:w="539"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152093</w:t>
            </w:r>
          </w:p>
        </w:tc>
        <w:tc>
          <w:tcPr>
            <w:tcW w:w="818"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PUBH710115</w:t>
            </w:r>
          </w:p>
        </w:tc>
        <w:tc>
          <w:tcPr>
            <w:tcW w:w="1683" w:type="pct"/>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szCs w:val="21"/>
              </w:rPr>
            </w:pPr>
            <w:r>
              <w:rPr>
                <w:rFonts w:ascii="Times New Roman" w:hAnsi="Times New Roman" w:eastAsia="宋体" w:cs="Times New Roman"/>
                <w:szCs w:val="21"/>
              </w:rPr>
              <w:t>营养与食品卫生学（2）</w:t>
            </w:r>
          </w:p>
        </w:tc>
        <w:tc>
          <w:tcPr>
            <w:tcW w:w="293"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573"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1" w:type="pct"/>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s="Times New Roman"/>
                <w:szCs w:val="21"/>
              </w:rPr>
            </w:pPr>
          </w:p>
        </w:tc>
        <w:tc>
          <w:tcPr>
            <w:tcW w:w="26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4</w:t>
            </w:r>
          </w:p>
        </w:tc>
        <w:tc>
          <w:tcPr>
            <w:tcW w:w="539"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152094</w:t>
            </w:r>
          </w:p>
        </w:tc>
        <w:tc>
          <w:tcPr>
            <w:tcW w:w="818"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PUBH710215</w:t>
            </w:r>
          </w:p>
        </w:tc>
        <w:tc>
          <w:tcPr>
            <w:tcW w:w="1683" w:type="pct"/>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szCs w:val="21"/>
              </w:rPr>
            </w:pPr>
            <w:r>
              <w:rPr>
                <w:rFonts w:ascii="Times New Roman" w:hAnsi="Times New Roman" w:eastAsia="宋体" w:cs="Times New Roman"/>
                <w:szCs w:val="21"/>
              </w:rPr>
              <w:t>儿少卫生与妇幼保健学（2）</w:t>
            </w:r>
          </w:p>
        </w:tc>
        <w:tc>
          <w:tcPr>
            <w:tcW w:w="293"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573"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1" w:type="pct"/>
            <w:vMerge w:val="continue"/>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s="Times New Roman"/>
                <w:szCs w:val="21"/>
              </w:rPr>
            </w:pPr>
          </w:p>
        </w:tc>
        <w:tc>
          <w:tcPr>
            <w:tcW w:w="26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5</w:t>
            </w:r>
          </w:p>
        </w:tc>
        <w:tc>
          <w:tcPr>
            <w:tcW w:w="539"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152132</w:t>
            </w:r>
          </w:p>
        </w:tc>
        <w:tc>
          <w:tcPr>
            <w:tcW w:w="818"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PUBH710515</w:t>
            </w:r>
          </w:p>
        </w:tc>
        <w:tc>
          <w:tcPr>
            <w:tcW w:w="1683" w:type="pct"/>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eastAsia="宋体" w:cs="Times New Roman"/>
                <w:szCs w:val="21"/>
              </w:rPr>
            </w:pPr>
            <w:r>
              <w:rPr>
                <w:rFonts w:ascii="Times New Roman" w:hAnsi="Times New Roman" w:eastAsia="宋体" w:cs="Times New Roman"/>
                <w:szCs w:val="21"/>
              </w:rPr>
              <w:t>卫生毒理学（2）</w:t>
            </w:r>
          </w:p>
        </w:tc>
        <w:tc>
          <w:tcPr>
            <w:tcW w:w="293"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573"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1"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学科</w:t>
            </w:r>
            <w:r>
              <w:rPr>
                <w:rFonts w:ascii="Times New Roman" w:hAnsi="Times New Roman" w:eastAsia="宋体" w:cs="Times New Roman"/>
                <w:szCs w:val="21"/>
              </w:rPr>
              <w:t>选修课</w:t>
            </w:r>
          </w:p>
        </w:tc>
        <w:tc>
          <w:tcPr>
            <w:tcW w:w="26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1</w:t>
            </w:r>
          </w:p>
        </w:tc>
        <w:tc>
          <w:tcPr>
            <w:tcW w:w="539"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hint="eastAsia" w:ascii="宋体" w:hAnsi="宋体" w:eastAsia="宋体" w:cs="Times New Roman"/>
                <w:szCs w:val="21"/>
              </w:rPr>
              <w:t>/</w:t>
            </w:r>
          </w:p>
        </w:tc>
        <w:tc>
          <w:tcPr>
            <w:tcW w:w="818"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hint="eastAsia" w:ascii="宋体" w:hAnsi="宋体" w:eastAsia="宋体" w:cs="Times New Roman"/>
                <w:szCs w:val="21"/>
              </w:rPr>
              <w:t>/</w:t>
            </w:r>
          </w:p>
        </w:tc>
        <w:tc>
          <w:tcPr>
            <w:tcW w:w="1683" w:type="pct"/>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s="Times New Roman"/>
                <w:szCs w:val="21"/>
              </w:rPr>
            </w:pPr>
            <w:r>
              <w:rPr>
                <w:rFonts w:ascii="Times New Roman" w:hAnsi="Times New Roman" w:eastAsia="宋体" w:cs="Times New Roman"/>
                <w:szCs w:val="21"/>
              </w:rPr>
              <w:t>研究生课程目录上选修</w:t>
            </w:r>
          </w:p>
        </w:tc>
        <w:tc>
          <w:tcPr>
            <w:tcW w:w="293"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≥3</w:t>
            </w:r>
          </w:p>
        </w:tc>
        <w:tc>
          <w:tcPr>
            <w:tcW w:w="573"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学分</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1"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其他</w:t>
            </w:r>
            <w:r>
              <w:rPr>
                <w:rFonts w:ascii="Times New Roman" w:hAnsi="Times New Roman" w:eastAsia="宋体" w:cs="Times New Roman"/>
                <w:szCs w:val="21"/>
              </w:rPr>
              <w:t>选修课</w:t>
            </w:r>
          </w:p>
        </w:tc>
        <w:tc>
          <w:tcPr>
            <w:tcW w:w="26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39"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hint="eastAsia" w:ascii="宋体" w:hAnsi="宋体" w:eastAsia="宋体" w:cs="Times New Roman"/>
                <w:szCs w:val="21"/>
              </w:rPr>
              <w:t>153044</w:t>
            </w:r>
          </w:p>
        </w:tc>
        <w:tc>
          <w:tcPr>
            <w:tcW w:w="818"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BASM612615</w:t>
            </w:r>
          </w:p>
        </w:tc>
        <w:tc>
          <w:tcPr>
            <w:tcW w:w="1683" w:type="pct"/>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研究生</w:t>
            </w:r>
            <w:r>
              <w:rPr>
                <w:rFonts w:ascii="Times New Roman" w:hAnsi="Times New Roman" w:eastAsia="宋体" w:cs="Times New Roman"/>
                <w:szCs w:val="21"/>
              </w:rPr>
              <w:t>论文写作</w:t>
            </w:r>
            <w:r>
              <w:rPr>
                <w:rFonts w:hint="eastAsia" w:ascii="Times New Roman" w:hAnsi="Times New Roman" w:eastAsia="宋体" w:cs="Times New Roman"/>
                <w:szCs w:val="21"/>
              </w:rPr>
              <w:t>指导（15）</w:t>
            </w:r>
          </w:p>
        </w:tc>
        <w:tc>
          <w:tcPr>
            <w:tcW w:w="293"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w:t>
            </w:r>
          </w:p>
        </w:tc>
        <w:tc>
          <w:tcPr>
            <w:tcW w:w="573"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1学分</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（必修）</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1" w:type="pct"/>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必修环节</w:t>
            </w:r>
          </w:p>
        </w:tc>
        <w:tc>
          <w:tcPr>
            <w:tcW w:w="26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539"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001999</w:t>
            </w:r>
          </w:p>
        </w:tc>
        <w:tc>
          <w:tcPr>
            <w:tcW w:w="818"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BXHJ8003</w:t>
            </w:r>
            <w:r>
              <w:rPr>
                <w:rFonts w:hint="eastAsia" w:cs="Times New Roman" w:asciiTheme="minorEastAsia" w:hAnsiTheme="minorEastAsia"/>
                <w:szCs w:val="21"/>
              </w:rPr>
              <w:t>99</w:t>
            </w:r>
          </w:p>
        </w:tc>
        <w:tc>
          <w:tcPr>
            <w:tcW w:w="1683" w:type="pct"/>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学术活动（讲座）</w:t>
            </w:r>
            <w:r>
              <w:rPr>
                <w:rFonts w:hint="eastAsia" w:ascii="Times New Roman" w:hAnsi="Times New Roman" w:cs="Times New Roman"/>
                <w:szCs w:val="21"/>
              </w:rPr>
              <w:t>博</w:t>
            </w:r>
          </w:p>
        </w:tc>
        <w:tc>
          <w:tcPr>
            <w:tcW w:w="293" w:type="pct"/>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2</w:t>
            </w:r>
          </w:p>
        </w:tc>
        <w:tc>
          <w:tcPr>
            <w:tcW w:w="573" w:type="pct"/>
            <w:vMerge w:val="restar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17</w:t>
            </w:r>
            <w:r>
              <w:rPr>
                <w:rFonts w:hint="eastAsia" w:ascii="Times New Roman" w:hAnsi="Times New Roman" w:eastAsia="宋体" w:cs="Times New Roman"/>
                <w:szCs w:val="21"/>
              </w:rPr>
              <w:t>学分</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（必修）</w:t>
            </w: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1"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c>
          <w:tcPr>
            <w:tcW w:w="26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39"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001987</w:t>
            </w:r>
          </w:p>
        </w:tc>
        <w:tc>
          <w:tcPr>
            <w:tcW w:w="818"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BXHJ6006</w:t>
            </w:r>
            <w:r>
              <w:rPr>
                <w:rFonts w:hint="eastAsia" w:cs="Times New Roman" w:asciiTheme="minorEastAsia" w:hAnsiTheme="minorEastAsia"/>
                <w:szCs w:val="21"/>
              </w:rPr>
              <w:t>99</w:t>
            </w:r>
          </w:p>
        </w:tc>
        <w:tc>
          <w:tcPr>
            <w:tcW w:w="1683" w:type="pct"/>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社会实践</w:t>
            </w:r>
          </w:p>
        </w:tc>
        <w:tc>
          <w:tcPr>
            <w:tcW w:w="293" w:type="pct"/>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1</w:t>
            </w:r>
          </w:p>
        </w:tc>
        <w:tc>
          <w:tcPr>
            <w:tcW w:w="573"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1"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c>
          <w:tcPr>
            <w:tcW w:w="26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3</w:t>
            </w:r>
          </w:p>
        </w:tc>
        <w:tc>
          <w:tcPr>
            <w:tcW w:w="539"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001972</w:t>
            </w:r>
          </w:p>
        </w:tc>
        <w:tc>
          <w:tcPr>
            <w:tcW w:w="818"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BXHJ8007</w:t>
            </w:r>
            <w:r>
              <w:rPr>
                <w:rFonts w:hint="eastAsia" w:cs="Times New Roman" w:asciiTheme="minorEastAsia" w:hAnsiTheme="minorEastAsia"/>
                <w:szCs w:val="21"/>
              </w:rPr>
              <w:t>99</w:t>
            </w:r>
          </w:p>
        </w:tc>
        <w:tc>
          <w:tcPr>
            <w:tcW w:w="1683" w:type="pct"/>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两助一辅</w:t>
            </w:r>
          </w:p>
        </w:tc>
        <w:tc>
          <w:tcPr>
            <w:tcW w:w="293"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73"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1"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c>
          <w:tcPr>
            <w:tcW w:w="26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4</w:t>
            </w:r>
          </w:p>
        </w:tc>
        <w:tc>
          <w:tcPr>
            <w:tcW w:w="539"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001995</w:t>
            </w:r>
          </w:p>
        </w:tc>
        <w:tc>
          <w:tcPr>
            <w:tcW w:w="818"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BXHJ8002</w:t>
            </w:r>
            <w:r>
              <w:rPr>
                <w:rFonts w:hint="eastAsia" w:cs="Times New Roman" w:asciiTheme="minorEastAsia" w:hAnsiTheme="minorEastAsia"/>
                <w:szCs w:val="21"/>
              </w:rPr>
              <w:t>99</w:t>
            </w:r>
          </w:p>
        </w:tc>
        <w:tc>
          <w:tcPr>
            <w:tcW w:w="1683" w:type="pct"/>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基金撰写</w:t>
            </w:r>
          </w:p>
        </w:tc>
        <w:tc>
          <w:tcPr>
            <w:tcW w:w="293"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573"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1"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c>
          <w:tcPr>
            <w:tcW w:w="26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5</w:t>
            </w:r>
          </w:p>
        </w:tc>
        <w:tc>
          <w:tcPr>
            <w:tcW w:w="539"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001970</w:t>
            </w:r>
          </w:p>
        </w:tc>
        <w:tc>
          <w:tcPr>
            <w:tcW w:w="818"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BXHJ8009</w:t>
            </w:r>
            <w:r>
              <w:rPr>
                <w:rFonts w:hint="eastAsia" w:cs="Times New Roman" w:asciiTheme="minorEastAsia" w:hAnsiTheme="minorEastAsia"/>
                <w:szCs w:val="21"/>
              </w:rPr>
              <w:t>99</w:t>
            </w:r>
          </w:p>
        </w:tc>
        <w:tc>
          <w:tcPr>
            <w:tcW w:w="1683" w:type="pct"/>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国际化交流</w:t>
            </w:r>
          </w:p>
        </w:tc>
        <w:tc>
          <w:tcPr>
            <w:tcW w:w="293"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573"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1"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c>
          <w:tcPr>
            <w:tcW w:w="26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6</w:t>
            </w:r>
          </w:p>
        </w:tc>
        <w:tc>
          <w:tcPr>
            <w:tcW w:w="539"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cs="Times New Roman" w:asciiTheme="minorEastAsia" w:hAnsiTheme="minorEastAsia"/>
                <w:szCs w:val="21"/>
              </w:rPr>
              <w:t>001986</w:t>
            </w:r>
          </w:p>
        </w:tc>
        <w:tc>
          <w:tcPr>
            <w:tcW w:w="818"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BXHJ8004</w:t>
            </w:r>
            <w:r>
              <w:rPr>
                <w:rFonts w:hint="eastAsia" w:cs="Times New Roman" w:asciiTheme="minorEastAsia" w:hAnsiTheme="minorEastAsia"/>
                <w:szCs w:val="21"/>
              </w:rPr>
              <w:t>99</w:t>
            </w:r>
          </w:p>
        </w:tc>
        <w:tc>
          <w:tcPr>
            <w:tcW w:w="1683" w:type="pct"/>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开题报告</w:t>
            </w:r>
            <w:r>
              <w:rPr>
                <w:rFonts w:hint="eastAsia" w:ascii="Times New Roman" w:hAnsi="Times New Roman" w:cs="Times New Roman"/>
                <w:szCs w:val="21"/>
              </w:rPr>
              <w:t>（博）</w:t>
            </w:r>
          </w:p>
        </w:tc>
        <w:tc>
          <w:tcPr>
            <w:tcW w:w="293"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73"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1"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c>
          <w:tcPr>
            <w:tcW w:w="26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7</w:t>
            </w:r>
          </w:p>
        </w:tc>
        <w:tc>
          <w:tcPr>
            <w:tcW w:w="539"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001994</w:t>
            </w:r>
          </w:p>
        </w:tc>
        <w:tc>
          <w:tcPr>
            <w:tcW w:w="818"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BXHJ8001</w:t>
            </w:r>
            <w:r>
              <w:rPr>
                <w:rFonts w:hint="eastAsia" w:cs="Times New Roman" w:asciiTheme="minorEastAsia" w:hAnsiTheme="minorEastAsia"/>
                <w:szCs w:val="21"/>
              </w:rPr>
              <w:t>99</w:t>
            </w:r>
          </w:p>
        </w:tc>
        <w:tc>
          <w:tcPr>
            <w:tcW w:w="1683" w:type="pct"/>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中期考核</w:t>
            </w:r>
            <w:r>
              <w:rPr>
                <w:rFonts w:hint="eastAsia" w:ascii="Times New Roman" w:hAnsi="Times New Roman" w:cs="Times New Roman"/>
                <w:szCs w:val="21"/>
              </w:rPr>
              <w:t>（博）</w:t>
            </w:r>
          </w:p>
        </w:tc>
        <w:tc>
          <w:tcPr>
            <w:tcW w:w="293"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6</w:t>
            </w:r>
          </w:p>
        </w:tc>
        <w:tc>
          <w:tcPr>
            <w:tcW w:w="573"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1"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c>
          <w:tcPr>
            <w:tcW w:w="26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8</w:t>
            </w:r>
          </w:p>
        </w:tc>
        <w:tc>
          <w:tcPr>
            <w:tcW w:w="539"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001971</w:t>
            </w:r>
          </w:p>
        </w:tc>
        <w:tc>
          <w:tcPr>
            <w:tcW w:w="818"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INFT600499</w:t>
            </w:r>
          </w:p>
        </w:tc>
        <w:tc>
          <w:tcPr>
            <w:tcW w:w="1683" w:type="pct"/>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文献阅读</w:t>
            </w:r>
          </w:p>
        </w:tc>
        <w:tc>
          <w:tcPr>
            <w:tcW w:w="293"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73"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1"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c>
          <w:tcPr>
            <w:tcW w:w="26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9</w:t>
            </w:r>
          </w:p>
        </w:tc>
        <w:tc>
          <w:tcPr>
            <w:tcW w:w="539"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001954</w:t>
            </w:r>
          </w:p>
        </w:tc>
        <w:tc>
          <w:tcPr>
            <w:tcW w:w="818"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B</w:t>
            </w:r>
            <w:r>
              <w:rPr>
                <w:rFonts w:cs="Times New Roman" w:asciiTheme="minorEastAsia" w:hAnsiTheme="minorEastAsia"/>
                <w:szCs w:val="21"/>
              </w:rPr>
              <w:t>XHJ602499</w:t>
            </w:r>
          </w:p>
        </w:tc>
        <w:tc>
          <w:tcPr>
            <w:tcW w:w="1683" w:type="pct"/>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cs="Times New Roman" w:asciiTheme="minorEastAsia" w:hAnsiTheme="minorEastAsia"/>
                <w:szCs w:val="21"/>
              </w:rPr>
            </w:pPr>
            <w:r>
              <w:rPr>
                <w:rFonts w:hint="eastAsia" w:cs="Times New Roman" w:asciiTheme="minorEastAsia" w:hAnsiTheme="minorEastAsia"/>
                <w:szCs w:val="21"/>
              </w:rPr>
              <w:t>劳动教育</w:t>
            </w:r>
          </w:p>
        </w:tc>
        <w:tc>
          <w:tcPr>
            <w:tcW w:w="293"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0</w:t>
            </w:r>
          </w:p>
        </w:tc>
        <w:tc>
          <w:tcPr>
            <w:tcW w:w="573"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1"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c>
          <w:tcPr>
            <w:tcW w:w="26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10</w:t>
            </w:r>
          </w:p>
        </w:tc>
        <w:tc>
          <w:tcPr>
            <w:tcW w:w="539"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001955</w:t>
            </w:r>
          </w:p>
        </w:tc>
        <w:tc>
          <w:tcPr>
            <w:tcW w:w="818"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B</w:t>
            </w:r>
            <w:r>
              <w:rPr>
                <w:rFonts w:cs="Times New Roman" w:asciiTheme="minorEastAsia" w:hAnsiTheme="minorEastAsia"/>
                <w:szCs w:val="21"/>
              </w:rPr>
              <w:t>XHJ602399</w:t>
            </w:r>
          </w:p>
        </w:tc>
        <w:tc>
          <w:tcPr>
            <w:tcW w:w="1683" w:type="pct"/>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cs="Times New Roman" w:asciiTheme="minorEastAsia" w:hAnsiTheme="minorEastAsia"/>
                <w:szCs w:val="21"/>
              </w:rPr>
            </w:pPr>
            <w:r>
              <w:rPr>
                <w:rFonts w:hint="eastAsia" w:cs="Times New Roman" w:asciiTheme="minorEastAsia" w:hAnsiTheme="minorEastAsia"/>
                <w:szCs w:val="21"/>
              </w:rPr>
              <w:t>美育</w:t>
            </w:r>
          </w:p>
        </w:tc>
        <w:tc>
          <w:tcPr>
            <w:tcW w:w="293"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0</w:t>
            </w:r>
          </w:p>
        </w:tc>
        <w:tc>
          <w:tcPr>
            <w:tcW w:w="573"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31"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c>
          <w:tcPr>
            <w:tcW w:w="260"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11</w:t>
            </w:r>
          </w:p>
        </w:tc>
        <w:tc>
          <w:tcPr>
            <w:tcW w:w="539"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001956</w:t>
            </w:r>
          </w:p>
        </w:tc>
        <w:tc>
          <w:tcPr>
            <w:tcW w:w="818" w:type="pct"/>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B</w:t>
            </w:r>
            <w:r>
              <w:rPr>
                <w:rFonts w:cs="Times New Roman" w:asciiTheme="minorEastAsia" w:hAnsiTheme="minorEastAsia"/>
                <w:szCs w:val="21"/>
              </w:rPr>
              <w:t>XHJ602299</w:t>
            </w:r>
          </w:p>
        </w:tc>
        <w:tc>
          <w:tcPr>
            <w:tcW w:w="1683" w:type="pct"/>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cs="Times New Roman" w:asciiTheme="minorEastAsia" w:hAnsiTheme="minorEastAsia"/>
                <w:szCs w:val="21"/>
              </w:rPr>
            </w:pPr>
            <w:r>
              <w:rPr>
                <w:rFonts w:hint="eastAsia" w:cs="Times New Roman" w:asciiTheme="minorEastAsia" w:hAnsiTheme="minorEastAsia"/>
                <w:szCs w:val="21"/>
              </w:rPr>
              <w:t>体育</w:t>
            </w:r>
          </w:p>
        </w:tc>
        <w:tc>
          <w:tcPr>
            <w:tcW w:w="293" w:type="pc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0</w:t>
            </w:r>
          </w:p>
        </w:tc>
        <w:tc>
          <w:tcPr>
            <w:tcW w:w="573" w:type="pct"/>
            <w:vMerge w:val="continue"/>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r>
    </w:tbl>
    <w:p>
      <w:pPr>
        <w:spacing w:before="120" w:beforeLines="50" w:after="120" w:afterLines="50" w:line="286" w:lineRule="auto"/>
        <w:rPr>
          <w:rFonts w:ascii="黑体" w:hAnsi="黑体" w:eastAsia="黑体"/>
          <w:sz w:val="10"/>
          <w:szCs w:val="10"/>
        </w:rPr>
      </w:pPr>
    </w:p>
    <w:p>
      <w:pPr>
        <w:spacing w:before="120" w:beforeLines="50" w:after="120" w:afterLines="50" w:line="286" w:lineRule="auto"/>
        <w:rPr>
          <w:rFonts w:ascii="黑体" w:hAnsi="黑体" w:eastAsia="黑体"/>
          <w:sz w:val="24"/>
          <w:szCs w:val="24"/>
        </w:rPr>
      </w:pPr>
      <w:r>
        <w:rPr>
          <w:rFonts w:ascii="黑体" w:hAnsi="黑体" w:eastAsia="黑体"/>
          <w:sz w:val="24"/>
          <w:szCs w:val="24"/>
        </w:rPr>
        <w:t>六、</w:t>
      </w:r>
      <w:r>
        <w:rPr>
          <w:rFonts w:hint="eastAsia" w:ascii="黑体" w:hAnsi="黑体" w:eastAsia="黑体"/>
          <w:sz w:val="24"/>
          <w:szCs w:val="24"/>
        </w:rPr>
        <w:t>必修</w:t>
      </w:r>
      <w:r>
        <w:rPr>
          <w:rFonts w:ascii="黑体" w:hAnsi="黑体" w:eastAsia="黑体"/>
          <w:sz w:val="24"/>
          <w:szCs w:val="24"/>
        </w:rPr>
        <w:t>环节</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．学</w:t>
      </w:r>
      <w:r>
        <w:rPr>
          <w:rFonts w:ascii="Times New Roman" w:hAnsi="Times New Roman" w:eastAsia="宋体" w:cs="Times New Roman"/>
          <w:b/>
          <w:bCs/>
          <w:szCs w:val="21"/>
        </w:rPr>
        <w:t>术活动（讲座）</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博士研究生学术活动（讲座）分为必听讲座和选听讲座。必听讲座为</w:t>
      </w:r>
      <w:r>
        <w:rPr>
          <w:rFonts w:cs="Times New Roman" w:asciiTheme="minorEastAsia" w:hAnsiTheme="minorEastAsia"/>
          <w:szCs w:val="21"/>
        </w:rPr>
        <w:t>“科学道德与学风建设”</w:t>
      </w:r>
      <w:r>
        <w:rPr>
          <w:rFonts w:ascii="Times New Roman" w:hAnsi="Times New Roman" w:eastAsia="宋体" w:cs="Times New Roman"/>
          <w:szCs w:val="21"/>
        </w:rPr>
        <w:t>；选听讲座包括与学科紧密相关</w:t>
      </w:r>
      <w:r>
        <w:rPr>
          <w:rFonts w:cs="Times New Roman" w:asciiTheme="minorEastAsia" w:hAnsiTheme="minorEastAsia"/>
          <w:szCs w:val="21"/>
        </w:rPr>
        <w:t>的“学</w:t>
      </w:r>
      <w:r>
        <w:rPr>
          <w:rFonts w:ascii="Times New Roman" w:hAnsi="Times New Roman" w:eastAsia="宋体" w:cs="Times New Roman"/>
          <w:szCs w:val="21"/>
        </w:rPr>
        <w:t>科前沿系列专题</w:t>
      </w:r>
      <w:r>
        <w:rPr>
          <w:rFonts w:cs="Times New Roman" w:asciiTheme="minorEastAsia" w:hAnsiTheme="minorEastAsia"/>
          <w:szCs w:val="21"/>
        </w:rPr>
        <w:t>讲座”（</w:t>
      </w:r>
      <w:r>
        <w:rPr>
          <w:rFonts w:ascii="Times New Roman" w:hAnsi="Times New Roman" w:eastAsia="宋体" w:cs="Times New Roman"/>
          <w:szCs w:val="21"/>
        </w:rPr>
        <w:t>由各二级学科组织若干教授对本学科前沿知识进行讲座，每个讲座由5个以上讲座组成）一个系列和在全校范围内选听</w:t>
      </w:r>
      <w:r>
        <w:rPr>
          <w:rFonts w:cs="Times New Roman" w:asciiTheme="minorEastAsia" w:hAnsiTheme="minorEastAsia"/>
          <w:szCs w:val="21"/>
        </w:rPr>
        <w:t>“学术讲座”</w:t>
      </w:r>
      <w:r>
        <w:rPr>
          <w:rFonts w:ascii="Times New Roman" w:hAnsi="Times New Roman" w:eastAsia="宋体" w:cs="Times New Roman"/>
          <w:szCs w:val="21"/>
        </w:rPr>
        <w:t>1次，自己公开讲座1次，完成后记2学分</w:t>
      </w:r>
      <w:r>
        <w:rPr>
          <w:rFonts w:hint="eastAsia"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w:t>
      </w:r>
      <w:r>
        <w:rPr>
          <w:rFonts w:ascii="Times New Roman" w:hAnsi="Times New Roman" w:eastAsia="宋体" w:cs="Times New Roman"/>
          <w:b/>
          <w:bCs/>
          <w:szCs w:val="21"/>
        </w:rPr>
        <w:t>社会实践</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w:t>
      </w:r>
      <w:r>
        <w:rPr>
          <w:rFonts w:cs="Times New Roman" w:asciiTheme="minorEastAsia" w:hAnsiTheme="minorEastAsia"/>
          <w:szCs w:val="21"/>
        </w:rPr>
        <w:t>社会实践</w:t>
      </w:r>
      <w:r>
        <w:rPr>
          <w:rFonts w:hint="eastAsia" w:cs="Times New Roman" w:asciiTheme="minorEastAsia" w:hAnsiTheme="minorEastAsia"/>
          <w:szCs w:val="21"/>
        </w:rPr>
        <w:t>”</w:t>
      </w:r>
      <w:r>
        <w:rPr>
          <w:rFonts w:cs="Times New Roman" w:asciiTheme="minorEastAsia" w:hAnsiTheme="minorEastAsia"/>
          <w:szCs w:val="21"/>
        </w:rPr>
        <w:t>是指研究生在校学习期间，除完成本学科规定的业务实践外，接触社会、了解社会、服务社会的实践活动。</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可以通过组织和参与社会调查、支教、扶贫及其他志愿者服务等方式进行，提倡以小组或团队形式开展活动，累计不少于</w:t>
      </w:r>
      <w:r>
        <w:rPr>
          <w:rFonts w:ascii="Times New Roman" w:hAnsi="Times New Roman" w:cs="Times New Roman"/>
          <w:szCs w:val="21"/>
        </w:rPr>
        <w:t>10</w:t>
      </w:r>
      <w:r>
        <w:rPr>
          <w:rFonts w:cs="Times New Roman" w:asciiTheme="minorEastAsia" w:hAnsiTheme="minorEastAsia"/>
          <w:szCs w:val="21"/>
        </w:rPr>
        <w:t>个工作日。</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研</w:t>
      </w:r>
      <w:r>
        <w:rPr>
          <w:rFonts w:cs="Times New Roman" w:asciiTheme="minorEastAsia" w:hAnsiTheme="minorEastAsia"/>
          <w:spacing w:val="-2"/>
          <w:szCs w:val="21"/>
        </w:rPr>
        <w:t>究生完成</w:t>
      </w:r>
      <w:r>
        <w:rPr>
          <w:rFonts w:hint="eastAsia" w:cs="Times New Roman" w:asciiTheme="minorEastAsia" w:hAnsiTheme="minorEastAsia"/>
          <w:spacing w:val="-2"/>
          <w:szCs w:val="21"/>
        </w:rPr>
        <w:t>“</w:t>
      </w:r>
      <w:r>
        <w:rPr>
          <w:rFonts w:cs="Times New Roman" w:asciiTheme="minorEastAsia" w:hAnsiTheme="minorEastAsia"/>
          <w:spacing w:val="-2"/>
          <w:szCs w:val="21"/>
        </w:rPr>
        <w:t>社会实践</w:t>
      </w:r>
      <w:r>
        <w:rPr>
          <w:rFonts w:hint="eastAsia" w:cs="Times New Roman" w:asciiTheme="minorEastAsia" w:hAnsiTheme="minorEastAsia"/>
          <w:spacing w:val="-2"/>
          <w:szCs w:val="21"/>
        </w:rPr>
        <w:t>”</w:t>
      </w:r>
      <w:r>
        <w:rPr>
          <w:rFonts w:cs="Times New Roman" w:asciiTheme="minorEastAsia" w:hAnsiTheme="minorEastAsia"/>
          <w:spacing w:val="-2"/>
          <w:szCs w:val="21"/>
        </w:rPr>
        <w:t>活动后，需撰写不少于</w:t>
      </w:r>
      <w:r>
        <w:rPr>
          <w:rFonts w:ascii="Times New Roman" w:hAnsi="Times New Roman" w:cs="Times New Roman"/>
          <w:spacing w:val="-2"/>
          <w:szCs w:val="21"/>
        </w:rPr>
        <w:t>3000</w:t>
      </w:r>
      <w:r>
        <w:rPr>
          <w:rFonts w:cs="Times New Roman" w:asciiTheme="minorEastAsia" w:hAnsiTheme="minorEastAsia"/>
          <w:spacing w:val="-2"/>
          <w:szCs w:val="21"/>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rFonts w:ascii="Times New Roman" w:hAnsi="Times New Roman" w:cs="Times New Roman"/>
          <w:spacing w:val="-2"/>
          <w:szCs w:val="21"/>
        </w:rPr>
        <w:t>1</w:t>
      </w:r>
      <w:r>
        <w:rPr>
          <w:rFonts w:cs="Times New Roman" w:asciiTheme="minorEastAsia" w:hAnsiTheme="minorEastAsia"/>
          <w:spacing w:val="-2"/>
          <w:szCs w:val="21"/>
        </w:rPr>
        <w:t>学分。</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w:t>
      </w:r>
      <w:r>
        <w:rPr>
          <w:rFonts w:ascii="Times New Roman" w:hAnsi="Times New Roman" w:eastAsia="宋体" w:cs="Times New Roman"/>
          <w:b/>
          <w:bCs/>
          <w:szCs w:val="21"/>
        </w:rPr>
        <w:t>两助一辅</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w:t>
      </w:r>
      <w:r>
        <w:rPr>
          <w:rFonts w:cs="Times New Roman" w:asciiTheme="minorEastAsia" w:hAnsiTheme="minorEastAsia"/>
          <w:szCs w:val="21"/>
        </w:rPr>
        <w:t>两助一辅</w:t>
      </w:r>
      <w:r>
        <w:rPr>
          <w:rFonts w:hint="eastAsia" w:cs="Times New Roman" w:asciiTheme="minorEastAsia" w:hAnsiTheme="minorEastAsia"/>
          <w:szCs w:val="21"/>
        </w:rPr>
        <w:t>”</w:t>
      </w:r>
      <w:r>
        <w:rPr>
          <w:rFonts w:cs="Times New Roman" w:asciiTheme="minorEastAsia" w:hAnsiTheme="minorEastAsia"/>
          <w:szCs w:val="21"/>
        </w:rPr>
        <w:t>是指研究生担任助教、助管和辅导员工作，其目的是培养研究生的综合能力，是研究生培养过程的有机组成部分。</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全日制博士研究生在培养过程中必须完成至少一个标准岗位的助教、助管或辅导员工作。该环节纳入学分管理，通过后记</w:t>
      </w:r>
      <w:r>
        <w:rPr>
          <w:rFonts w:ascii="Times New Roman" w:hAnsi="Times New Roman" w:cs="Times New Roman"/>
          <w:szCs w:val="21"/>
        </w:rPr>
        <w:t>2</w:t>
      </w:r>
      <w:r>
        <w:rPr>
          <w:rFonts w:cs="Times New Roman" w:asciiTheme="minorEastAsia" w:hAnsiTheme="minorEastAsia"/>
          <w:szCs w:val="21"/>
        </w:rPr>
        <w:t>学分。</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4</w:t>
      </w:r>
      <w:r>
        <w:rPr>
          <w:rFonts w:hint="eastAsia" w:ascii="Times New Roman" w:hAnsi="Times New Roman" w:eastAsia="宋体" w:cs="Times New Roman"/>
          <w:b/>
          <w:bCs/>
          <w:szCs w:val="21"/>
        </w:rPr>
        <w:t>．</w:t>
      </w:r>
      <w:r>
        <w:rPr>
          <w:rFonts w:ascii="Times New Roman" w:hAnsi="Times New Roman" w:eastAsia="宋体" w:cs="Times New Roman"/>
          <w:b/>
          <w:bCs/>
          <w:szCs w:val="21"/>
        </w:rPr>
        <w:t>基金撰写</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kern w:val="0"/>
          <w:szCs w:val="21"/>
        </w:rPr>
      </w:pPr>
      <w:r>
        <w:rPr>
          <w:rFonts w:hint="eastAsia" w:cs="Times New Roman" w:asciiTheme="minorEastAsia" w:hAnsiTheme="minorEastAsia"/>
          <w:szCs w:val="21"/>
        </w:rPr>
        <w:t>博士</w:t>
      </w:r>
      <w:r>
        <w:rPr>
          <w:rFonts w:cs="Times New Roman" w:asciiTheme="minorEastAsia" w:hAnsiTheme="minorEastAsia"/>
          <w:szCs w:val="21"/>
        </w:rPr>
        <w:t>研究生在学习期间，须在导师指导下，完成一项国家科研基金申请书的撰写，培养博士生申请科研项目的能力，导师同意通过后，记</w:t>
      </w:r>
      <w:r>
        <w:rPr>
          <w:rFonts w:ascii="Times New Roman" w:hAnsi="Times New Roman" w:cs="Times New Roman"/>
          <w:szCs w:val="21"/>
        </w:rPr>
        <w:t>1</w:t>
      </w:r>
      <w:r>
        <w:rPr>
          <w:rFonts w:cs="Times New Roman" w:asciiTheme="minorEastAsia" w:hAnsiTheme="minorEastAsia"/>
          <w:szCs w:val="21"/>
        </w:rPr>
        <w:t>学分。</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5</w:t>
      </w:r>
      <w:r>
        <w:rPr>
          <w:rFonts w:hint="eastAsia" w:ascii="Times New Roman" w:hAnsi="Times New Roman" w:eastAsia="宋体" w:cs="Times New Roman"/>
          <w:b/>
          <w:bCs/>
          <w:szCs w:val="21"/>
        </w:rPr>
        <w:t>．</w:t>
      </w:r>
      <w:r>
        <w:rPr>
          <w:rFonts w:ascii="Times New Roman" w:hAnsi="Times New Roman" w:eastAsia="宋体" w:cs="Times New Roman"/>
          <w:b/>
          <w:bCs/>
          <w:szCs w:val="21"/>
        </w:rPr>
        <w:t>国际化交流</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kern w:val="0"/>
          <w:szCs w:val="21"/>
        </w:rPr>
        <w:t>立足于培养</w:t>
      </w:r>
      <w:r>
        <w:rPr>
          <w:rFonts w:hint="eastAsia" w:cs="Times New Roman" w:asciiTheme="minorEastAsia" w:hAnsiTheme="minorEastAsia"/>
          <w:kern w:val="0"/>
          <w:szCs w:val="21"/>
        </w:rPr>
        <w:t>博士</w:t>
      </w:r>
      <w:r>
        <w:rPr>
          <w:rFonts w:cs="Times New Roman" w:asciiTheme="minorEastAsia" w:hAnsiTheme="minorEastAsia"/>
          <w:kern w:val="0"/>
          <w:szCs w:val="21"/>
        </w:rPr>
        <w:t>研究生的全球化视野，</w:t>
      </w:r>
      <w:r>
        <w:rPr>
          <w:rFonts w:cs="Times New Roman" w:asciiTheme="minorEastAsia" w:hAnsiTheme="minorEastAsia"/>
          <w:szCs w:val="21"/>
        </w:rPr>
        <w:t>研究生在校期间，达到以下条件之一记1学分：</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1</w:t>
      </w:r>
      <w:r>
        <w:rPr>
          <w:rFonts w:cs="Times New Roman" w:asciiTheme="minorEastAsia" w:hAnsiTheme="minorEastAsia"/>
          <w:szCs w:val="21"/>
        </w:rPr>
        <w:t>）</w:t>
      </w:r>
      <w:r>
        <w:rPr>
          <w:rFonts w:hint="eastAsia" w:ascii="Times New Roman" w:hAnsi="Times New Roman" w:cs="Times New Roman"/>
          <w:szCs w:val="21"/>
        </w:rPr>
        <w:t>CSC</w:t>
      </w:r>
      <w:r>
        <w:rPr>
          <w:rFonts w:hint="eastAsia" w:cs="Times New Roman" w:asciiTheme="minorEastAsia" w:hAnsiTheme="minorEastAsia"/>
          <w:szCs w:val="21"/>
        </w:rPr>
        <w:t>项目；</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2</w:t>
      </w:r>
      <w:r>
        <w:rPr>
          <w:rFonts w:cs="Times New Roman" w:asciiTheme="minorEastAsia" w:hAnsiTheme="minorEastAsia"/>
          <w:szCs w:val="21"/>
        </w:rPr>
        <w:t>）</w:t>
      </w:r>
      <w:r>
        <w:rPr>
          <w:rFonts w:hint="eastAsia" w:cs="Times New Roman" w:asciiTheme="minorEastAsia" w:hAnsiTheme="minorEastAsia"/>
          <w:szCs w:val="21"/>
        </w:rPr>
        <w:t>与国（境）外</w:t>
      </w:r>
      <w:r>
        <w:rPr>
          <w:rFonts w:cs="Times New Roman" w:asciiTheme="minorEastAsia" w:hAnsiTheme="minorEastAsia"/>
          <w:szCs w:val="21"/>
        </w:rPr>
        <w:t>联合培养；</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3</w:t>
      </w:r>
      <w:r>
        <w:rPr>
          <w:rFonts w:cs="Times New Roman" w:asciiTheme="minorEastAsia" w:hAnsiTheme="minorEastAsia"/>
          <w:szCs w:val="21"/>
        </w:rPr>
        <w:t>）</w:t>
      </w:r>
      <w:r>
        <w:rPr>
          <w:rFonts w:hint="eastAsia" w:cs="Times New Roman" w:asciiTheme="minorEastAsia" w:hAnsiTheme="minorEastAsia"/>
          <w:szCs w:val="21"/>
        </w:rPr>
        <w:t>国（境）外</w:t>
      </w:r>
      <w:r>
        <w:rPr>
          <w:rFonts w:cs="Times New Roman" w:asciiTheme="minorEastAsia" w:hAnsiTheme="minorEastAsia"/>
          <w:szCs w:val="21"/>
        </w:rPr>
        <w:t>短期出</w:t>
      </w:r>
      <w:r>
        <w:rPr>
          <w:rFonts w:hint="eastAsia" w:cs="Times New Roman" w:asciiTheme="minorEastAsia" w:hAnsiTheme="minorEastAsia"/>
          <w:szCs w:val="21"/>
        </w:rPr>
        <w:t>访、国际组织实习（三个月以上）；</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4</w:t>
      </w:r>
      <w:r>
        <w:rPr>
          <w:rFonts w:cs="Times New Roman" w:asciiTheme="minorEastAsia" w:hAnsiTheme="minorEastAsia"/>
          <w:szCs w:val="21"/>
        </w:rPr>
        <w:t>）国内外举办的</w:t>
      </w:r>
      <w:r>
        <w:rPr>
          <w:rFonts w:hint="eastAsia" w:cs="Times New Roman" w:asciiTheme="minorEastAsia" w:hAnsiTheme="minorEastAsia"/>
          <w:szCs w:val="21"/>
        </w:rPr>
        <w:t>高水平</w:t>
      </w:r>
      <w:r>
        <w:rPr>
          <w:rFonts w:cs="Times New Roman" w:asciiTheme="minorEastAsia" w:hAnsiTheme="minorEastAsia"/>
          <w:szCs w:val="21"/>
        </w:rPr>
        <w:t>国际</w:t>
      </w:r>
      <w:r>
        <w:rPr>
          <w:rFonts w:hint="eastAsia" w:cs="Times New Roman" w:asciiTheme="minorEastAsia" w:hAnsiTheme="minorEastAsia"/>
          <w:szCs w:val="21"/>
        </w:rPr>
        <w:t>学术</w:t>
      </w:r>
      <w:r>
        <w:rPr>
          <w:rFonts w:cs="Times New Roman" w:asciiTheme="minorEastAsia" w:hAnsiTheme="minorEastAsia"/>
          <w:szCs w:val="21"/>
        </w:rPr>
        <w:t>会议（参加、投稿被书面收录、壁报、小组发言、大会发言，均被认可，但需提供详细的书面证明邀请信、参会照片、收录节选、壁报展示及照片、小组发言或大会发言照片等）；</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5</w:t>
      </w:r>
      <w:r>
        <w:rPr>
          <w:rFonts w:ascii="Times New Roman" w:hAnsi="Times New Roman" w:cs="Times New Roman"/>
          <w:szCs w:val="21"/>
        </w:rPr>
        <w:t>）</w:t>
      </w:r>
      <w:r>
        <w:rPr>
          <w:rFonts w:hint="eastAsia" w:cs="Times New Roman" w:asciiTheme="minorEastAsia" w:hAnsiTheme="minorEastAsia"/>
          <w:szCs w:val="21"/>
        </w:rPr>
        <w:t>选修国外高校全英文在线课程（</w:t>
      </w:r>
      <w:r>
        <w:rPr>
          <w:rFonts w:hint="eastAsia" w:ascii="Times New Roman" w:hAnsi="Times New Roman" w:cs="Times New Roman"/>
          <w:szCs w:val="21"/>
        </w:rPr>
        <w:t>MOOC</w:t>
      </w:r>
      <w:r>
        <w:rPr>
          <w:rFonts w:hint="eastAsia" w:cs="Times New Roman" w:asciiTheme="minorEastAsia" w:hAnsiTheme="minorEastAsia"/>
          <w:szCs w:val="21"/>
        </w:rPr>
        <w:t>），并取得合格证书；</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6</w:t>
      </w:r>
      <w:r>
        <w:rPr>
          <w:rFonts w:cs="Times New Roman" w:asciiTheme="minorEastAsia" w:hAnsiTheme="minorEastAsia"/>
          <w:szCs w:val="21"/>
        </w:rPr>
        <w:t>）</w:t>
      </w:r>
      <w:r>
        <w:rPr>
          <w:rFonts w:hint="eastAsia" w:cs="Times New Roman" w:asciiTheme="minorEastAsia" w:hAnsiTheme="minorEastAsia"/>
          <w:szCs w:val="21"/>
        </w:rPr>
        <w:t>参加国际专业竞赛并获奖。</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6．文献</w:t>
      </w:r>
      <w:r>
        <w:rPr>
          <w:rFonts w:ascii="Times New Roman" w:hAnsi="Times New Roman" w:eastAsia="宋体" w:cs="Times New Roman"/>
          <w:b/>
          <w:bCs/>
          <w:szCs w:val="21"/>
        </w:rPr>
        <w:t>阅读</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博士研究生</w:t>
      </w:r>
      <w:r>
        <w:rPr>
          <w:rFonts w:ascii="Times New Roman" w:hAnsi="Times New Roman" w:eastAsia="宋体" w:cs="Times New Roman"/>
          <w:szCs w:val="21"/>
        </w:rPr>
        <w:t>在第</w:t>
      </w:r>
      <w:r>
        <w:rPr>
          <w:rFonts w:hint="eastAsia" w:ascii="Times New Roman" w:hAnsi="Times New Roman" w:eastAsia="宋体" w:cs="Times New Roman"/>
          <w:szCs w:val="21"/>
        </w:rPr>
        <w:t>三</w:t>
      </w:r>
      <w:r>
        <w:rPr>
          <w:rFonts w:ascii="Times New Roman" w:hAnsi="Times New Roman" w:eastAsia="宋体" w:cs="Times New Roman"/>
          <w:szCs w:val="21"/>
        </w:rPr>
        <w:t>学</w:t>
      </w:r>
      <w:r>
        <w:rPr>
          <w:rFonts w:hint="eastAsia" w:ascii="Times New Roman" w:hAnsi="Times New Roman" w:eastAsia="宋体" w:cs="Times New Roman"/>
          <w:szCs w:val="21"/>
        </w:rPr>
        <w:t>期</w:t>
      </w:r>
      <w:r>
        <w:rPr>
          <w:rFonts w:ascii="Times New Roman" w:hAnsi="Times New Roman" w:eastAsia="宋体" w:cs="Times New Roman"/>
          <w:szCs w:val="21"/>
        </w:rPr>
        <w:t>完成</w:t>
      </w:r>
      <w:r>
        <w:rPr>
          <w:rFonts w:hint="eastAsia" w:ascii="Times New Roman" w:hAnsi="Times New Roman" w:eastAsia="宋体" w:cs="Times New Roman"/>
          <w:szCs w:val="21"/>
        </w:rPr>
        <w:t>文献阅读</w:t>
      </w:r>
      <w:r>
        <w:rPr>
          <w:rFonts w:ascii="Times New Roman" w:hAnsi="Times New Roman" w:eastAsia="宋体" w:cs="Times New Roman"/>
          <w:szCs w:val="21"/>
        </w:rPr>
        <w:t>考核</w:t>
      </w:r>
      <w:r>
        <w:rPr>
          <w:rFonts w:hint="eastAsia" w:ascii="Times New Roman" w:hAnsi="Times New Roman" w:eastAsia="宋体" w:cs="Times New Roman"/>
          <w:szCs w:val="21"/>
        </w:rPr>
        <w:t>。</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文献阅读是引领研究生特别是博士生夯实学术根基、迅速进入学科专业研究领域和培养研究生科研素养的重要手段，是课程知识扩展和补充的重要方式。学生入学后</w:t>
      </w:r>
      <w:r>
        <w:rPr>
          <w:rFonts w:ascii="Times New Roman" w:hAnsi="Times New Roman" w:eastAsia="宋体" w:cs="Times New Roman"/>
          <w:szCs w:val="21"/>
        </w:rPr>
        <w:t>结合学科发展和论文研究方向，在导师指导下阅读国内外文献资料。</w:t>
      </w:r>
      <w:r>
        <w:rPr>
          <w:rFonts w:hint="eastAsia" w:ascii="Times New Roman" w:hAnsi="Times New Roman" w:eastAsia="宋体" w:cs="Times New Roman"/>
          <w:szCs w:val="21"/>
        </w:rPr>
        <w:t>考核形式采用提交文献综述形式（要求字数不少于</w:t>
      </w:r>
      <w:r>
        <w:rPr>
          <w:rFonts w:ascii="Times New Roman" w:hAnsi="Times New Roman" w:eastAsia="宋体" w:cs="Times New Roman"/>
          <w:szCs w:val="21"/>
        </w:rPr>
        <w:t>5000</w:t>
      </w:r>
      <w:r>
        <w:rPr>
          <w:rFonts w:hint="eastAsia" w:ascii="Times New Roman" w:hAnsi="Times New Roman" w:eastAsia="宋体" w:cs="Times New Roman"/>
          <w:szCs w:val="21"/>
        </w:rPr>
        <w:t>字，参考文献应包含中文文献和外文文献，综述文献不少于</w:t>
      </w:r>
      <w:r>
        <w:rPr>
          <w:rFonts w:ascii="Times New Roman" w:hAnsi="Times New Roman" w:eastAsia="宋体" w:cs="Times New Roman"/>
          <w:szCs w:val="21"/>
        </w:rPr>
        <w:t>60</w:t>
      </w:r>
      <w:r>
        <w:rPr>
          <w:rFonts w:hint="eastAsia" w:ascii="Times New Roman" w:hAnsi="Times New Roman" w:eastAsia="宋体" w:cs="Times New Roman"/>
          <w:szCs w:val="21"/>
        </w:rPr>
        <w:t>篇），导师签字确认后提交，学院组织评审专家对综述报告的选题、格式、内容以及书面表达能力等进行评审，审核通过者，记</w:t>
      </w:r>
      <w:r>
        <w:rPr>
          <w:rFonts w:ascii="Times New Roman" w:hAnsi="Times New Roman" w:eastAsia="宋体" w:cs="Times New Roman"/>
          <w:szCs w:val="21"/>
        </w:rPr>
        <w:t>2</w:t>
      </w:r>
      <w:r>
        <w:rPr>
          <w:rFonts w:hint="eastAsia" w:ascii="Times New Roman" w:hAnsi="Times New Roman" w:eastAsia="宋体" w:cs="Times New Roman"/>
          <w:szCs w:val="21"/>
        </w:rPr>
        <w:t>学分。审核未通过者，按照专家审核意见完成修改后提交学院进行二次评审。经两次审核都未通过者，不记入学分。考核工作由医学部各学院统一安排。</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文献阅读考核需在博士生中期考核前完成考核。</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7</w:t>
      </w:r>
      <w:r>
        <w:rPr>
          <w:rFonts w:hint="eastAsia" w:ascii="Times New Roman" w:hAnsi="Times New Roman" w:eastAsia="宋体" w:cs="Times New Roman"/>
          <w:b/>
          <w:bCs/>
          <w:szCs w:val="21"/>
        </w:rPr>
        <w:t>．</w:t>
      </w:r>
      <w:r>
        <w:rPr>
          <w:rFonts w:ascii="Times New Roman" w:hAnsi="Times New Roman" w:eastAsia="宋体" w:cs="Times New Roman"/>
          <w:b/>
          <w:bCs/>
          <w:szCs w:val="21"/>
        </w:rPr>
        <w:t>开题报告</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开题报告一般应在第三学期前完成，具体时间由导师或院系决定，并上报学院（系）教学管理部门备案。从开题报告通过至申请论文答辩的时间一般不少于一年。开题报告由医学部各学院（系）组织，应以学术活动的形式在学院（系）内公开进行，并邀请相关教师和研究生参加。各学院（系）邀请本学院督导列席旁听并打分。开题报告评审专家小组由3-5名校内外博士生导师组成（导师及导师团队成员为主体）。考查内容包括：文献综述、选题意义与科学依据、研究基础、研究内容与计划、工作难点及特色、预期成果以及可能产生的创新点、论文选题与学科的匹配度等。经评审通过的开题报告，须以书面形式交医学部人才培养处审核备案。</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8</w:t>
      </w:r>
      <w:r>
        <w:rPr>
          <w:rFonts w:hint="eastAsia" w:ascii="Times New Roman" w:hAnsi="Times New Roman" w:eastAsia="宋体" w:cs="Times New Roman"/>
          <w:b/>
          <w:bCs/>
          <w:szCs w:val="21"/>
        </w:rPr>
        <w:t>．</w:t>
      </w:r>
      <w:r>
        <w:rPr>
          <w:rFonts w:ascii="Times New Roman" w:hAnsi="Times New Roman" w:eastAsia="宋体" w:cs="Times New Roman"/>
          <w:b/>
          <w:bCs/>
          <w:szCs w:val="21"/>
        </w:rPr>
        <w:t>中期考核</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中期考核一般安排在第四学期（贯通培养研究生转为博士生培养后可在第三学期，以直攻博方式进入贯通式培养体系的学生，自第三学年起至第四学年末完成中期考核）进行。中期考核由院系组织，应以学术活动的形式公开进行，考核小组由5-7名本学科或相关学科博士生导师组成。中期考核内容包括：学科基础综合考试（含学科基础文献集阅读）、业务表现与论文工作进展、论文选题与学科的匹配度、综合能力等方面。研究生提交由导师签字的课程成绩、课题研究进展报告等书面材料后，方可参加中期考核。中期考核所有评审材料，须在医学部人才培养处审核备案。</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博士研究生应按时参加中期考核，如有特殊情况需延期参加，须本人申请并获得批准后参加补考核，具体时间由医学部人才培养处确定。</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中期考核具体要求参照《西安交通大学关于博士研究生中期考核的若干规定》（西交研〔2014〕25号）执行。</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研究生的开题报告和中期报告中应包含实验安全风险评估的内容。</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9</w:t>
      </w:r>
      <w:r>
        <w:rPr>
          <w:rFonts w:hint="eastAsia" w:ascii="Times New Roman" w:hAnsi="Times New Roman" w:eastAsia="宋体" w:cs="Times New Roman"/>
          <w:b/>
          <w:bCs/>
          <w:szCs w:val="21"/>
        </w:rPr>
        <w:t>．</w:t>
      </w:r>
      <w:r>
        <w:rPr>
          <w:rFonts w:ascii="Times New Roman" w:hAnsi="Times New Roman" w:eastAsia="宋体" w:cs="Times New Roman"/>
          <w:b/>
          <w:bCs/>
          <w:szCs w:val="21"/>
        </w:rPr>
        <w:t>最终学术报告（预答辩）</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博士研究生完成学位论文后，须在医学部或医学部各院（系）范围内进行公开预答辩，报告自己的研究成果。预答辩专家组由5名本学科或相关学科专家组成，其中至少3人为博士生导师。各学院（系）邀请本学院督导或相关学科专家列席旁听。在预答辩中，须严格审查论文选题的前沿性、理论及现实意义，学位论文是否有独立见解，学位论文的工作量，研究工作的系统性、完整性，论文选题与学科的匹配度等。</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对预答辩中提出的问题，博士研究生应认真修改与补充，填写修改说明表，经导师签字同意并报预答辩专家组组长签字同意后，方可进入论文评阅、答辩环节。对于未获得通过的学位论文，博士研究生应修改后重新进行预答辩。</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对于未获得通过和</w:t>
      </w:r>
      <w:r>
        <w:rPr>
          <w:rFonts w:cs="Times New Roman" w:asciiTheme="minorEastAsia" w:hAnsiTheme="minorEastAsia"/>
          <w:szCs w:val="21"/>
        </w:rPr>
        <w:t>问题较多的学位论文要经过研究生修改后重新组织预答辩。</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预答辩具体参照《西安交通大学学位授予工作暂行办法》（西交研〔2003〕14号）执行。</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b/>
          <w:bCs w:val="0"/>
          <w:szCs w:val="21"/>
        </w:rPr>
      </w:pPr>
      <w:r>
        <w:rPr>
          <w:rFonts w:ascii="Times New Roman" w:hAnsi="Times New Roman" w:eastAsia="宋体"/>
          <w:b/>
          <w:bCs w:val="0"/>
          <w:szCs w:val="21"/>
        </w:rPr>
        <w:t>10.体育、美育、劳动教育</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eastAsia="宋体"/>
          <w:bCs/>
          <w:szCs w:val="21"/>
        </w:rPr>
      </w:pPr>
      <w:r>
        <w:rPr>
          <w:rFonts w:hint="eastAsia" w:ascii="Times New Roman" w:hAnsi="Times New Roman" w:eastAsia="宋体"/>
          <w:bCs/>
          <w:szCs w:val="21"/>
        </w:rPr>
        <w:t>研究生依据当年的体育、美育、劳动教育研修指南，结合个人兴趣爱好和培养计划安排，制定个人体育、美育、劳动教育环节研修计划并开展研修，由体育、美育、劳动教育牵头单位对环节是否“通过”给予认定。</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11</w:t>
      </w:r>
      <w:r>
        <w:rPr>
          <w:rFonts w:hint="eastAsia" w:ascii="Times New Roman" w:hAnsi="Times New Roman" w:eastAsia="宋体" w:cs="Times New Roman"/>
          <w:b/>
          <w:bCs/>
          <w:szCs w:val="21"/>
        </w:rPr>
        <w:t>．</w:t>
      </w:r>
      <w:r>
        <w:rPr>
          <w:rFonts w:ascii="Times New Roman" w:hAnsi="Times New Roman" w:eastAsia="宋体" w:cs="Times New Roman"/>
          <w:b/>
          <w:bCs/>
          <w:szCs w:val="21"/>
        </w:rPr>
        <w:t>学术论文</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博士生应在导师的指导下，根据研究方向确定研究课题，课题需结合国民经济发展需求和学科发展趋势，具有前瞻性和理论价值，达到本学科前沿，博士研究生应独立完成具有一定学术水平和价值的学位论文。论文答辩</w:t>
      </w:r>
      <w:r>
        <w:rPr>
          <w:rFonts w:hint="eastAsia" w:cs="Times New Roman" w:asciiTheme="minorEastAsia" w:hAnsiTheme="minorEastAsia"/>
          <w:szCs w:val="21"/>
        </w:rPr>
        <w:t>具体参照</w:t>
      </w:r>
      <w:r>
        <w:rPr>
          <w:rFonts w:cs="Times New Roman" w:asciiTheme="minorEastAsia" w:hAnsiTheme="minorEastAsia"/>
          <w:szCs w:val="21"/>
        </w:rPr>
        <w:t>《西安交通大学学位授予工作暂行办法》（西交研〔2003〕14号）执行。</w:t>
      </w:r>
    </w:p>
    <w:p>
      <w:pPr>
        <w:spacing w:before="360" w:after="360" w:line="286" w:lineRule="auto"/>
        <w:jc w:val="center"/>
        <w:rPr>
          <w:rFonts w:ascii="楷体_GB2312" w:hAnsi="Times New Roman" w:eastAsia="楷体_GB2312" w:cs="Times New Roman"/>
          <w:b/>
          <w:bCs/>
          <w:sz w:val="28"/>
          <w:szCs w:val="28"/>
        </w:rPr>
      </w:pPr>
      <w:r>
        <w:rPr>
          <w:rFonts w:hint="eastAsia" w:ascii="楷体_GB2312" w:hAnsi="Times New Roman" w:eastAsia="楷体_GB2312" w:cs="Times New Roman"/>
          <w:b/>
          <w:bCs/>
          <w:sz w:val="28"/>
          <w:szCs w:val="28"/>
        </w:rPr>
        <w:t>★</w:t>
      </w:r>
      <w:r>
        <w:rPr>
          <w:rFonts w:ascii="楷体_GB2312" w:hAnsi="Times New Roman" w:eastAsia="楷体_GB2312" w:cs="Times New Roman"/>
          <w:b/>
          <w:bCs/>
          <w:sz w:val="28"/>
          <w:szCs w:val="28"/>
        </w:rPr>
        <w:t>药学（1007）攻读博士学位（学术型）研究生培养方案</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80" w:firstLineChars="200"/>
        <w:textAlignment w:val="auto"/>
        <w:rPr>
          <w:rFonts w:ascii="黑体" w:hAnsi="黑体" w:eastAsia="黑体"/>
          <w:sz w:val="24"/>
          <w:szCs w:val="24"/>
        </w:rPr>
      </w:pPr>
      <w:bookmarkStart w:id="252" w:name="_Toc393120844"/>
      <w:bookmarkStart w:id="253" w:name="_Toc393276251"/>
      <w:bookmarkStart w:id="254" w:name="_Toc423012026"/>
      <w:bookmarkStart w:id="255" w:name="_Toc393211229"/>
      <w:bookmarkStart w:id="256" w:name="_Toc422409373"/>
      <w:bookmarkStart w:id="257" w:name="_Toc534657597"/>
      <w:bookmarkStart w:id="258" w:name="_Toc487802508"/>
      <w:bookmarkStart w:id="259" w:name="_Toc422842501"/>
      <w:bookmarkStart w:id="260" w:name="_Toc422988825"/>
      <w:bookmarkStart w:id="261" w:name="_Toc519846410"/>
      <w:bookmarkStart w:id="262" w:name="_Toc392579521"/>
      <w:bookmarkStart w:id="263" w:name="_Toc392086442"/>
      <w:bookmarkStart w:id="264" w:name="_Toc392837600"/>
      <w:bookmarkStart w:id="265" w:name="_Toc520822630"/>
      <w:bookmarkStart w:id="266" w:name="_Toc392774725"/>
      <w:bookmarkStart w:id="267" w:name="_Toc534577266"/>
      <w:bookmarkStart w:id="268" w:name="_Toc392664200"/>
      <w:bookmarkStart w:id="269" w:name="_Toc392596081"/>
      <w:r>
        <w:rPr>
          <w:rFonts w:ascii="黑体" w:hAnsi="黑体" w:eastAsia="黑体"/>
          <w:sz w:val="24"/>
          <w:szCs w:val="24"/>
        </w:rPr>
        <w:t>一、培养目标</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秉承“扎根西部、服务国家、区域引领、世界一流”的办学定位，</w:t>
      </w:r>
      <w:r>
        <w:rPr>
          <w:rFonts w:hint="eastAsia" w:ascii="Times New Roman" w:hAnsi="Times New Roman" w:eastAsia="宋体" w:cs="Times New Roman"/>
          <w:szCs w:val="21"/>
        </w:rPr>
        <w:t>药学</w:t>
      </w:r>
      <w:r>
        <w:rPr>
          <w:rFonts w:ascii="Times New Roman" w:hAnsi="Times New Roman" w:eastAsia="宋体" w:cs="Times New Roman"/>
          <w:szCs w:val="21"/>
        </w:rPr>
        <w:t>博士生培养目标为：以科研创新能力培养为主，坚持德智体美等全面发展，培养造就具有</w:t>
      </w:r>
      <w:r>
        <w:rPr>
          <w:rFonts w:hint="eastAsia" w:ascii="Times New Roman" w:hAnsi="Times New Roman" w:eastAsia="宋体" w:cs="Times New Roman"/>
          <w:szCs w:val="21"/>
        </w:rPr>
        <w:t>强烈</w:t>
      </w:r>
      <w:r>
        <w:rPr>
          <w:rFonts w:ascii="Times New Roman" w:hAnsi="Times New Roman" w:eastAsia="宋体" w:cs="Times New Roman"/>
          <w:szCs w:val="21"/>
        </w:rPr>
        <w:t>社会责任感</w:t>
      </w:r>
      <w:r>
        <w:rPr>
          <w:rFonts w:hint="eastAsia" w:ascii="Times New Roman" w:hAnsi="Times New Roman" w:eastAsia="宋体" w:cs="Times New Roman"/>
          <w:szCs w:val="21"/>
        </w:rPr>
        <w:t>的药学</w:t>
      </w:r>
      <w:r>
        <w:rPr>
          <w:rFonts w:ascii="Times New Roman" w:hAnsi="Times New Roman" w:eastAsia="宋体" w:cs="Times New Roman"/>
          <w:szCs w:val="21"/>
        </w:rPr>
        <w:t>研究领域德才兼备的高层次创新型人才。具体要求是：</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w:t>
      </w:r>
      <w:bookmarkStart w:id="270" w:name="_Hlk73434708"/>
      <w:r>
        <w:rPr>
          <w:rFonts w:ascii="Times New Roman" w:hAnsi="Times New Roman" w:eastAsia="宋体" w:cs="Times New Roman"/>
          <w:szCs w:val="21"/>
        </w:rPr>
        <w:t>热爱祖国，遵纪守法，</w:t>
      </w:r>
      <w:r>
        <w:rPr>
          <w:rFonts w:hint="eastAsia" w:ascii="Times New Roman" w:hAnsi="Times New Roman" w:eastAsia="宋体" w:cs="Times New Roman"/>
          <w:szCs w:val="21"/>
        </w:rPr>
        <w:t>品行端正，</w:t>
      </w:r>
      <w:r>
        <w:rPr>
          <w:rFonts w:ascii="Times New Roman" w:hAnsi="Times New Roman" w:eastAsia="宋体" w:cs="Times New Roman"/>
          <w:szCs w:val="21"/>
        </w:rPr>
        <w:t>具有健康的体魄和良好的心理素质</w:t>
      </w:r>
      <w:r>
        <w:rPr>
          <w:rFonts w:hint="eastAsia" w:ascii="Times New Roman" w:hAnsi="Times New Roman" w:eastAsia="宋体" w:cs="Times New Roman"/>
          <w:szCs w:val="21"/>
        </w:rPr>
        <w:t>；</w:t>
      </w:r>
      <w:r>
        <w:rPr>
          <w:rFonts w:ascii="Times New Roman" w:hAnsi="Times New Roman" w:eastAsia="宋体" w:cs="Times New Roman"/>
          <w:szCs w:val="21"/>
        </w:rPr>
        <w:t>遵守学术规范，恪守学术道德</w:t>
      </w:r>
      <w:r>
        <w:rPr>
          <w:rFonts w:hint="eastAsia" w:ascii="Times New Roman" w:hAnsi="Times New Roman" w:eastAsia="宋体" w:cs="Times New Roman"/>
          <w:szCs w:val="21"/>
        </w:rPr>
        <w:t>，</w:t>
      </w:r>
      <w:r>
        <w:rPr>
          <w:rFonts w:ascii="Times New Roman" w:hAnsi="Times New Roman" w:eastAsia="宋体" w:cs="Times New Roman"/>
          <w:szCs w:val="21"/>
        </w:rPr>
        <w:t>崇尚科学精神</w:t>
      </w:r>
      <w:r>
        <w:rPr>
          <w:rFonts w:hint="eastAsia" w:ascii="Times New Roman" w:hAnsi="Times New Roman" w:eastAsia="宋体" w:cs="Times New Roman"/>
          <w:szCs w:val="21"/>
        </w:rPr>
        <w:t>；对</w:t>
      </w:r>
      <w:r>
        <w:rPr>
          <w:rFonts w:ascii="Times New Roman" w:hAnsi="Times New Roman" w:eastAsia="宋体" w:cs="Times New Roman"/>
          <w:szCs w:val="21"/>
        </w:rPr>
        <w:t>药学研究有较浓厚的兴趣，有献身</w:t>
      </w:r>
      <w:r>
        <w:rPr>
          <w:rFonts w:hint="eastAsia" w:ascii="Times New Roman" w:hAnsi="Times New Roman" w:eastAsia="宋体" w:cs="Times New Roman"/>
          <w:szCs w:val="21"/>
        </w:rPr>
        <w:t>药学研究</w:t>
      </w:r>
      <w:r>
        <w:rPr>
          <w:rFonts w:ascii="Times New Roman" w:hAnsi="Times New Roman" w:eastAsia="宋体" w:cs="Times New Roman"/>
          <w:szCs w:val="21"/>
        </w:rPr>
        <w:t>的强烈事业心和创新精神，积极为祖国药学事业发展贡献自己的才智。</w:t>
      </w:r>
      <w:bookmarkEnd w:id="270"/>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．把握药学学科的发展动向和</w:t>
      </w:r>
      <w:r>
        <w:rPr>
          <w:rFonts w:ascii="Times New Roman" w:hAnsi="Times New Roman" w:eastAsia="宋体" w:cs="Times New Roman"/>
          <w:szCs w:val="21"/>
        </w:rPr>
        <w:t>研究前沿</w:t>
      </w:r>
      <w:r>
        <w:rPr>
          <w:rFonts w:hint="eastAsia" w:ascii="Times New Roman" w:hAnsi="Times New Roman" w:eastAsia="宋体" w:cs="Times New Roman"/>
          <w:szCs w:val="21"/>
        </w:rPr>
        <w:t>，</w:t>
      </w:r>
      <w:bookmarkStart w:id="271" w:name="_Hlk73434730"/>
      <w:r>
        <w:rPr>
          <w:rFonts w:hint="eastAsia" w:ascii="Times New Roman" w:hAnsi="Times New Roman" w:eastAsia="宋体" w:cs="Times New Roman"/>
          <w:szCs w:val="21"/>
        </w:rPr>
        <w:t>掌握药学及相关学科的基本理论和专业知识，具有</w:t>
      </w:r>
      <w:r>
        <w:rPr>
          <w:rFonts w:ascii="Times New Roman" w:hAnsi="Times New Roman" w:eastAsia="宋体" w:cs="Times New Roman"/>
          <w:szCs w:val="21"/>
        </w:rPr>
        <w:t>扎实的药学</w:t>
      </w:r>
      <w:r>
        <w:rPr>
          <w:rFonts w:hint="eastAsia" w:ascii="Times New Roman" w:hAnsi="Times New Roman" w:eastAsia="宋体" w:cs="Times New Roman"/>
          <w:szCs w:val="21"/>
        </w:rPr>
        <w:t>专业积累和科研</w:t>
      </w:r>
      <w:r>
        <w:rPr>
          <w:rFonts w:ascii="Times New Roman" w:hAnsi="Times New Roman" w:eastAsia="宋体" w:cs="Times New Roman"/>
          <w:szCs w:val="21"/>
        </w:rPr>
        <w:t>技能，</w:t>
      </w:r>
      <w:r>
        <w:rPr>
          <w:rFonts w:hint="eastAsia" w:ascii="Times New Roman" w:hAnsi="Times New Roman" w:eastAsia="宋体" w:cs="Times New Roman"/>
          <w:szCs w:val="21"/>
        </w:rPr>
        <w:t>熟练</w:t>
      </w:r>
      <w:r>
        <w:rPr>
          <w:rFonts w:ascii="Times New Roman" w:hAnsi="Times New Roman" w:eastAsia="宋体" w:cs="Times New Roman"/>
          <w:szCs w:val="21"/>
        </w:rPr>
        <w:t>掌握一门</w:t>
      </w:r>
      <w:r>
        <w:rPr>
          <w:rFonts w:hint="eastAsia" w:ascii="Times New Roman" w:hAnsi="Times New Roman" w:eastAsia="宋体" w:cs="Times New Roman"/>
          <w:szCs w:val="21"/>
        </w:rPr>
        <w:t>外国语，掌握必需的哲学、法律、职业道德等人文社科知识。</w:t>
      </w:r>
      <w:bookmarkEnd w:id="271"/>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 xml:space="preserve">3. </w:t>
      </w:r>
      <w:r>
        <w:rPr>
          <w:rFonts w:hint="eastAsia" w:ascii="Times New Roman" w:hAnsi="Times New Roman" w:eastAsia="宋体" w:cs="Times New Roman"/>
          <w:szCs w:val="21"/>
        </w:rPr>
        <w:t>具有拓宽和加深</w:t>
      </w:r>
      <w:r>
        <w:rPr>
          <w:rFonts w:ascii="Times New Roman" w:hAnsi="Times New Roman" w:eastAsia="宋体" w:cs="Times New Roman"/>
          <w:szCs w:val="21"/>
        </w:rPr>
        <w:t>药学</w:t>
      </w:r>
      <w:r>
        <w:rPr>
          <w:rFonts w:hint="eastAsia" w:ascii="Times New Roman" w:hAnsi="Times New Roman" w:eastAsia="宋体" w:cs="Times New Roman"/>
          <w:szCs w:val="21"/>
        </w:rPr>
        <w:t>及</w:t>
      </w:r>
      <w:r>
        <w:rPr>
          <w:rFonts w:ascii="Times New Roman" w:hAnsi="Times New Roman" w:eastAsia="宋体" w:cs="Times New Roman"/>
          <w:szCs w:val="21"/>
        </w:rPr>
        <w:t>相关学科的交叉融合能力</w:t>
      </w:r>
      <w:r>
        <w:rPr>
          <w:rFonts w:hint="eastAsia" w:ascii="Times New Roman" w:hAnsi="Times New Roman" w:eastAsia="宋体" w:cs="Times New Roman"/>
          <w:szCs w:val="21"/>
        </w:rPr>
        <w:t>；具备</w:t>
      </w:r>
      <w:r>
        <w:rPr>
          <w:rFonts w:ascii="Times New Roman" w:hAnsi="Times New Roman" w:eastAsia="宋体" w:cs="Times New Roman"/>
          <w:szCs w:val="21"/>
        </w:rPr>
        <w:t>较强的学术实践能力和学术洞察力，</w:t>
      </w:r>
      <w:r>
        <w:rPr>
          <w:rFonts w:hint="eastAsia" w:ascii="Times New Roman" w:hAnsi="Times New Roman" w:eastAsia="宋体" w:cs="Times New Roman"/>
          <w:szCs w:val="21"/>
        </w:rPr>
        <w:t>能够综合</w:t>
      </w:r>
      <w:r>
        <w:rPr>
          <w:rFonts w:ascii="Times New Roman" w:hAnsi="Times New Roman" w:eastAsia="宋体" w:cs="Times New Roman"/>
          <w:szCs w:val="21"/>
        </w:rPr>
        <w:t>利用药学和相关学科的</w:t>
      </w:r>
      <w:r>
        <w:rPr>
          <w:rFonts w:hint="eastAsia" w:ascii="Times New Roman" w:hAnsi="Times New Roman" w:eastAsia="宋体" w:cs="Times New Roman"/>
          <w:szCs w:val="21"/>
        </w:rPr>
        <w:t>理论、</w:t>
      </w:r>
      <w:r>
        <w:rPr>
          <w:rFonts w:ascii="Times New Roman" w:hAnsi="Times New Roman" w:eastAsia="宋体" w:cs="Times New Roman"/>
          <w:szCs w:val="21"/>
        </w:rPr>
        <w:t>方法和技术，</w:t>
      </w:r>
      <w:r>
        <w:rPr>
          <w:rFonts w:hint="eastAsia" w:ascii="Times New Roman" w:hAnsi="Times New Roman" w:eastAsia="宋体" w:cs="Times New Roman"/>
          <w:szCs w:val="21"/>
        </w:rPr>
        <w:t>独立开展科学研究；</w:t>
      </w:r>
      <w:bookmarkStart w:id="272" w:name="_Hlk73434765"/>
      <w:r>
        <w:rPr>
          <w:rFonts w:hint="eastAsia" w:ascii="Times New Roman" w:hAnsi="Times New Roman" w:eastAsia="宋体" w:cs="Times New Roman"/>
          <w:szCs w:val="21"/>
        </w:rPr>
        <w:t>具有较好的语言和文字表达能力；具有运用外语进行阅读、表达、写作的能力和开展国际学术交流的能力；具有</w:t>
      </w:r>
      <w:r>
        <w:rPr>
          <w:rFonts w:ascii="Times New Roman" w:hAnsi="Times New Roman" w:eastAsia="宋体" w:cs="Times New Roman"/>
          <w:szCs w:val="21"/>
        </w:rPr>
        <w:t>较好的学术潜力和创新能力</w:t>
      </w:r>
      <w:r>
        <w:rPr>
          <w:rFonts w:hint="eastAsia" w:ascii="Times New Roman" w:hAnsi="Times New Roman" w:eastAsia="宋体" w:cs="Times New Roman"/>
          <w:szCs w:val="21"/>
        </w:rPr>
        <w:t>。</w:t>
      </w:r>
      <w:bookmarkEnd w:id="272"/>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4．</w:t>
      </w:r>
      <w:r>
        <w:rPr>
          <w:rFonts w:hint="eastAsia" w:ascii="Times New Roman" w:hAnsi="Times New Roman" w:eastAsia="宋体" w:cs="Times New Roman"/>
          <w:szCs w:val="21"/>
        </w:rPr>
        <w:t>具有</w:t>
      </w:r>
      <w:r>
        <w:rPr>
          <w:rFonts w:ascii="Times New Roman" w:hAnsi="Times New Roman" w:eastAsia="宋体" w:cs="Times New Roman"/>
          <w:szCs w:val="21"/>
        </w:rPr>
        <w:t>较强的科学创新</w:t>
      </w:r>
      <w:r>
        <w:rPr>
          <w:rFonts w:hint="eastAsia" w:ascii="Times New Roman" w:hAnsi="Times New Roman" w:eastAsia="宋体" w:cs="Times New Roman"/>
          <w:szCs w:val="21"/>
        </w:rPr>
        <w:t>精神</w:t>
      </w:r>
      <w:r>
        <w:rPr>
          <w:rFonts w:ascii="Times New Roman" w:hAnsi="Times New Roman" w:eastAsia="宋体" w:cs="Times New Roman"/>
          <w:szCs w:val="21"/>
        </w:rPr>
        <w:t>、学术研究能力和国际化视野</w:t>
      </w:r>
      <w:r>
        <w:rPr>
          <w:rFonts w:hint="eastAsia" w:ascii="Times New Roman" w:hAnsi="Times New Roman" w:eastAsia="宋体" w:cs="Times New Roman"/>
          <w:szCs w:val="21"/>
        </w:rPr>
        <w:t>；</w:t>
      </w:r>
      <w:bookmarkStart w:id="273" w:name="_Hlk73434785"/>
      <w:r>
        <w:rPr>
          <w:rFonts w:hint="eastAsia" w:ascii="Times New Roman" w:hAnsi="Times New Roman" w:eastAsia="宋体" w:cs="Times New Roman"/>
          <w:szCs w:val="21"/>
        </w:rPr>
        <w:t>具有团队协作与组织管理能力，能够</w:t>
      </w:r>
      <w:r>
        <w:rPr>
          <w:rFonts w:ascii="Times New Roman" w:hAnsi="Times New Roman" w:eastAsia="宋体" w:cs="Times New Roman"/>
          <w:szCs w:val="21"/>
        </w:rPr>
        <w:t>解决药学领域的</w:t>
      </w:r>
      <w:r>
        <w:rPr>
          <w:rFonts w:hint="eastAsia" w:ascii="Times New Roman" w:hAnsi="Times New Roman" w:eastAsia="宋体" w:cs="Times New Roman"/>
          <w:szCs w:val="21"/>
        </w:rPr>
        <w:t>相关科学问题</w:t>
      </w:r>
      <w:r>
        <w:rPr>
          <w:rFonts w:ascii="Times New Roman" w:hAnsi="Times New Roman" w:eastAsia="宋体" w:cs="Times New Roman"/>
          <w:szCs w:val="21"/>
        </w:rPr>
        <w:t>，</w:t>
      </w:r>
      <w:r>
        <w:rPr>
          <w:rFonts w:hint="eastAsia" w:ascii="Times New Roman" w:hAnsi="Times New Roman" w:eastAsia="宋体" w:cs="Times New Roman"/>
          <w:szCs w:val="21"/>
        </w:rPr>
        <w:t>在</w:t>
      </w:r>
      <w:r>
        <w:rPr>
          <w:rFonts w:ascii="Times New Roman" w:hAnsi="Times New Roman" w:eastAsia="宋体" w:cs="Times New Roman"/>
          <w:szCs w:val="21"/>
        </w:rPr>
        <w:t>科学和技术上做出创新性成果。</w:t>
      </w:r>
      <w:bookmarkEnd w:id="273"/>
      <w:r>
        <w:rPr>
          <w:rFonts w:hint="eastAsia" w:ascii="Times New Roman" w:hAnsi="Times New Roman" w:eastAsia="宋体" w:cs="Times New Roman"/>
          <w:szCs w:val="21"/>
        </w:rPr>
        <w:t>具备在高等院校、科研机构、医药行业等相关机构从事人才培养、科学研究、专业技术或管理工作的岗位胜任力。</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80" w:firstLineChars="200"/>
        <w:textAlignment w:val="auto"/>
        <w:rPr>
          <w:rFonts w:ascii="黑体" w:hAnsi="黑体" w:eastAsia="黑体"/>
          <w:sz w:val="24"/>
          <w:szCs w:val="24"/>
        </w:rPr>
      </w:pPr>
      <w:bookmarkStart w:id="274" w:name="_Toc519846411"/>
      <w:bookmarkStart w:id="275" w:name="_Toc393120845"/>
      <w:bookmarkStart w:id="276" w:name="_Toc392664201"/>
      <w:bookmarkStart w:id="277" w:name="_Toc422988826"/>
      <w:bookmarkStart w:id="278" w:name="_Toc392579522"/>
      <w:bookmarkStart w:id="279" w:name="_Toc392837601"/>
      <w:bookmarkStart w:id="280" w:name="_Toc423012027"/>
      <w:bookmarkStart w:id="281" w:name="_Toc520822631"/>
      <w:bookmarkStart w:id="282" w:name="_Toc534657598"/>
      <w:bookmarkStart w:id="283" w:name="_Toc392774726"/>
      <w:bookmarkStart w:id="284" w:name="_Toc487802509"/>
      <w:bookmarkStart w:id="285" w:name="_Toc534577267"/>
      <w:bookmarkStart w:id="286" w:name="_Toc393276252"/>
      <w:bookmarkStart w:id="287" w:name="_Toc422842502"/>
      <w:bookmarkStart w:id="288" w:name="_Toc422409374"/>
      <w:bookmarkStart w:id="289" w:name="_Toc392086443"/>
      <w:bookmarkStart w:id="290" w:name="_Toc392596082"/>
      <w:bookmarkStart w:id="291" w:name="_Toc393211230"/>
      <w:r>
        <w:rPr>
          <w:rFonts w:ascii="黑体" w:hAnsi="黑体" w:eastAsia="黑体"/>
          <w:sz w:val="24"/>
          <w:szCs w:val="24"/>
        </w:rPr>
        <w:t>二、研究方向</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1．药物化学</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rPr>
        <w:tab/>
      </w:r>
      <w:r>
        <w:rPr>
          <w:rFonts w:ascii="Times New Roman" w:hAnsi="Times New Roman" w:eastAsia="宋体" w:cs="Times New Roman"/>
          <w:szCs w:val="21"/>
        </w:rPr>
        <w:t>2．药剂学</w:t>
      </w:r>
      <w:r>
        <w:rPr>
          <w:rFonts w:hint="eastAsia"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3．生药学</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rPr>
        <w:tab/>
      </w:r>
      <w:r>
        <w:rPr>
          <w:rFonts w:ascii="Times New Roman" w:hAnsi="Times New Roman" w:eastAsia="宋体" w:cs="Times New Roman"/>
          <w:szCs w:val="21"/>
        </w:rPr>
        <w:t>4．药物分析学</w:t>
      </w:r>
      <w:r>
        <w:rPr>
          <w:rFonts w:hint="eastAsia"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5．微生物与生化药学</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rPr>
        <w:tab/>
      </w:r>
      <w:r>
        <w:rPr>
          <w:rFonts w:ascii="Times New Roman" w:hAnsi="Times New Roman" w:eastAsia="宋体" w:cs="Times New Roman"/>
          <w:szCs w:val="21"/>
        </w:rPr>
        <w:t>6．药理学</w:t>
      </w:r>
      <w:r>
        <w:rPr>
          <w:rFonts w:hint="eastAsia"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7.</w:t>
      </w:r>
      <w:r>
        <w:rPr>
          <w:rFonts w:ascii="Times New Roman" w:hAnsi="Times New Roman" w:eastAsia="宋体" w:cs="Times New Roman"/>
          <w:szCs w:val="21"/>
        </w:rPr>
        <w:t xml:space="preserve"> </w:t>
      </w:r>
      <w:r>
        <w:rPr>
          <w:rFonts w:hint="eastAsia" w:ascii="Times New Roman" w:hAnsi="Times New Roman" w:eastAsia="宋体" w:cs="Times New Roman"/>
          <w:szCs w:val="21"/>
        </w:rPr>
        <w:t>新药智能发现</w:t>
      </w:r>
      <w:r>
        <w:rPr>
          <w:rFonts w:ascii="Times New Roman" w:hAnsi="Times New Roman" w:eastAsia="宋体" w:cs="Times New Roman"/>
          <w:szCs w:val="21"/>
        </w:rPr>
        <w:t>与评价</w:t>
      </w:r>
      <w:r>
        <w:rPr>
          <w:rFonts w:hint="eastAsia" w:ascii="Times New Roman" w:hAnsi="Times New Roman" w:eastAsia="宋体" w:cs="Times New Roman"/>
          <w:szCs w:val="21"/>
        </w:rPr>
        <w:t>(交叉)。</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80" w:firstLineChars="200"/>
        <w:textAlignment w:val="auto"/>
        <w:rPr>
          <w:rFonts w:ascii="黑体" w:hAnsi="黑体" w:eastAsia="黑体"/>
          <w:sz w:val="24"/>
          <w:szCs w:val="24"/>
        </w:rPr>
      </w:pPr>
      <w:bookmarkStart w:id="292" w:name="_Toc487802510"/>
      <w:bookmarkStart w:id="293" w:name="_Toc392664202"/>
      <w:bookmarkStart w:id="294" w:name="_Toc534577268"/>
      <w:bookmarkStart w:id="295" w:name="_Toc392086444"/>
      <w:bookmarkStart w:id="296" w:name="_Toc392579523"/>
      <w:bookmarkStart w:id="297" w:name="_Toc422988827"/>
      <w:bookmarkStart w:id="298" w:name="_Toc534657599"/>
      <w:bookmarkStart w:id="299" w:name="_Toc422842503"/>
      <w:bookmarkStart w:id="300" w:name="_Toc392774727"/>
      <w:bookmarkStart w:id="301" w:name="_Toc393120846"/>
      <w:bookmarkStart w:id="302" w:name="_Toc393276253"/>
      <w:bookmarkStart w:id="303" w:name="_Toc393211231"/>
      <w:bookmarkStart w:id="304" w:name="_Toc422409375"/>
      <w:bookmarkStart w:id="305" w:name="_Toc423012028"/>
      <w:bookmarkStart w:id="306" w:name="_Toc392596083"/>
      <w:bookmarkStart w:id="307" w:name="_Toc519846412"/>
      <w:bookmarkStart w:id="308" w:name="_Toc392837602"/>
      <w:bookmarkStart w:id="309" w:name="_Toc520822632"/>
      <w:r>
        <w:rPr>
          <w:rFonts w:ascii="黑体" w:hAnsi="黑体" w:eastAsia="黑体"/>
          <w:sz w:val="24"/>
          <w:szCs w:val="24"/>
        </w:rPr>
        <w:t>三、学习年限</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本专业博士生的学习年限一般为3-5年，第一学年学习专业基础理论，掌握进行科研所必需的基本技能并写出文献综述。从第二年开始,在导师指导下进入课题研究和学位论文准备阶段。从事课题研究工作（选题、实验设计、实验操作、数据处理、结果分析总结、论文撰写等）的时间不得少于2年。</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80" w:firstLineChars="200"/>
        <w:textAlignment w:val="auto"/>
        <w:rPr>
          <w:rFonts w:ascii="黑体" w:hAnsi="黑体" w:eastAsia="黑体"/>
          <w:sz w:val="24"/>
          <w:szCs w:val="24"/>
        </w:rPr>
      </w:pPr>
      <w:bookmarkStart w:id="310" w:name="_Toc423012029"/>
      <w:bookmarkStart w:id="311" w:name="_Toc393211232"/>
      <w:bookmarkStart w:id="312" w:name="_Toc487802511"/>
      <w:bookmarkStart w:id="313" w:name="_Toc534577269"/>
      <w:bookmarkStart w:id="314" w:name="_Toc393120847"/>
      <w:bookmarkStart w:id="315" w:name="_Toc422988828"/>
      <w:bookmarkStart w:id="316" w:name="_Toc392837603"/>
      <w:bookmarkStart w:id="317" w:name="_Toc392579524"/>
      <w:bookmarkStart w:id="318" w:name="_Toc392596084"/>
      <w:bookmarkStart w:id="319" w:name="_Toc393276254"/>
      <w:bookmarkStart w:id="320" w:name="_Toc520822633"/>
      <w:bookmarkStart w:id="321" w:name="_Toc392086445"/>
      <w:bookmarkStart w:id="322" w:name="_Toc519846413"/>
      <w:bookmarkStart w:id="323" w:name="_Toc534657600"/>
      <w:bookmarkStart w:id="324" w:name="_Toc422842504"/>
      <w:bookmarkStart w:id="325" w:name="_Toc422409376"/>
      <w:bookmarkStart w:id="326" w:name="_Toc392664203"/>
      <w:bookmarkStart w:id="327" w:name="_Toc392774728"/>
      <w:r>
        <w:rPr>
          <w:rFonts w:ascii="黑体" w:hAnsi="黑体" w:eastAsia="黑体"/>
          <w:sz w:val="24"/>
          <w:szCs w:val="24"/>
        </w:rPr>
        <w:t>四、培养方式</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bookmarkStart w:id="328" w:name="_Toc392664204"/>
      <w:bookmarkStart w:id="329" w:name="_Toc393211233"/>
      <w:bookmarkStart w:id="330" w:name="_Toc423012030"/>
      <w:bookmarkStart w:id="331" w:name="_Toc422409377"/>
      <w:bookmarkStart w:id="332" w:name="_Toc392837604"/>
      <w:bookmarkStart w:id="333" w:name="_Toc392086446"/>
      <w:bookmarkStart w:id="334" w:name="_Toc392579525"/>
      <w:bookmarkStart w:id="335" w:name="_Toc520822634"/>
      <w:bookmarkStart w:id="336" w:name="_Toc392596085"/>
      <w:bookmarkStart w:id="337" w:name="_Toc487802512"/>
      <w:bookmarkStart w:id="338" w:name="_Toc393120848"/>
      <w:bookmarkStart w:id="339" w:name="_Toc422988829"/>
      <w:bookmarkStart w:id="340" w:name="_Toc534577270"/>
      <w:bookmarkStart w:id="341" w:name="_Toc393276255"/>
      <w:bookmarkStart w:id="342" w:name="_Toc534657601"/>
      <w:bookmarkStart w:id="343" w:name="_Toc392774729"/>
      <w:bookmarkStart w:id="344" w:name="_Toc519846414"/>
      <w:bookmarkStart w:id="345" w:name="_Toc422842505"/>
      <w:r>
        <w:rPr>
          <w:rFonts w:ascii="Times New Roman" w:hAnsi="Times New Roman" w:cs="Times New Roman"/>
          <w:szCs w:val="21"/>
        </w:rPr>
        <w:t>1</w:t>
      </w:r>
      <w:r>
        <w:rPr>
          <w:rFonts w:ascii="Times New Roman" w:hAnsi="Times New Roman" w:eastAsia="宋体" w:cs="Times New Roman"/>
          <w:szCs w:val="21"/>
        </w:rPr>
        <w:t>．</w:t>
      </w:r>
      <w:r>
        <w:rPr>
          <w:rFonts w:cs="Times New Roman" w:asciiTheme="minorEastAsia" w:hAnsiTheme="minorEastAsia"/>
          <w:szCs w:val="21"/>
        </w:rPr>
        <w:t>导师小组联合指导，导师负责制。各系、中心应成立以博士生导师为</w:t>
      </w:r>
      <w:r>
        <w:rPr>
          <w:rFonts w:ascii="Times New Roman" w:hAnsi="Times New Roman" w:cs="Times New Roman"/>
          <w:szCs w:val="21"/>
        </w:rPr>
        <w:t>主5</w:t>
      </w:r>
      <w:r>
        <w:rPr>
          <w:rFonts w:cs="Times New Roman" w:asciiTheme="minorEastAsia" w:hAnsiTheme="minorEastAsia"/>
          <w:szCs w:val="21"/>
        </w:rPr>
        <w:t>人指导小组及课题小组的有关成员，共同协助搞好</w:t>
      </w:r>
      <w:r>
        <w:rPr>
          <w:rFonts w:hint="eastAsia" w:cs="Times New Roman" w:asciiTheme="minorEastAsia" w:hAnsiTheme="minorEastAsia"/>
          <w:szCs w:val="21"/>
        </w:rPr>
        <w:t>博士</w:t>
      </w:r>
      <w:r>
        <w:rPr>
          <w:rFonts w:cs="Times New Roman" w:asciiTheme="minorEastAsia" w:hAnsiTheme="minorEastAsia"/>
          <w:szCs w:val="21"/>
        </w:rPr>
        <w:t>研究生的培养工作。</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2</w:t>
      </w:r>
      <w:r>
        <w:rPr>
          <w:rFonts w:ascii="Times New Roman" w:hAnsi="Times New Roman" w:eastAsia="宋体" w:cs="Times New Roman"/>
          <w:szCs w:val="21"/>
        </w:rPr>
        <w:t>．</w:t>
      </w:r>
      <w:r>
        <w:rPr>
          <w:rFonts w:cs="Times New Roman" w:asciiTheme="minorEastAsia" w:hAnsiTheme="minorEastAsia"/>
          <w:szCs w:val="21"/>
        </w:rPr>
        <w:t>课程学习要满足需要的学分；课程包括本专业的基础和前沿课程和开展自己研究工作的必要知识和技术，可采用上课、学术报告、国际交流、讨论等方式。</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3</w:t>
      </w:r>
      <w:r>
        <w:rPr>
          <w:rFonts w:ascii="Times New Roman" w:hAnsi="Times New Roman" w:eastAsia="宋体" w:cs="Times New Roman"/>
          <w:szCs w:val="21"/>
        </w:rPr>
        <w:t>．</w:t>
      </w:r>
      <w:r>
        <w:rPr>
          <w:rFonts w:cs="Times New Roman" w:asciiTheme="minorEastAsia" w:hAnsiTheme="minorEastAsia"/>
          <w:szCs w:val="21"/>
        </w:rPr>
        <w:t>积极鼓励学生参加会议、讲座等，展丰富多彩的科研活动，营造浓郁的科研氛围，提升学生的科研兴趣，增强学生解决重大科学问题的动力。</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4</w:t>
      </w:r>
      <w:r>
        <w:rPr>
          <w:rFonts w:ascii="Times New Roman" w:hAnsi="Times New Roman" w:eastAsia="宋体" w:cs="Times New Roman"/>
          <w:szCs w:val="21"/>
        </w:rPr>
        <w:t>．</w:t>
      </w:r>
      <w:r>
        <w:rPr>
          <w:rFonts w:cs="Times New Roman" w:asciiTheme="minorEastAsia" w:hAnsiTheme="minorEastAsia"/>
          <w:szCs w:val="21"/>
        </w:rPr>
        <w:t>通过课题组、院系的科研汇报会、文献阅读会、小组讨论会，个别指导等形式，逐步强化学生的科研创新能力。</w:t>
      </w:r>
    </w:p>
    <w:p>
      <w:pPr>
        <w:keepNext w:val="0"/>
        <w:keepLines w:val="0"/>
        <w:pageBreakBefore w:val="0"/>
        <w:widowControl w:val="0"/>
        <w:tabs>
          <w:tab w:val="left" w:pos="3900"/>
        </w:tabs>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5</w:t>
      </w:r>
      <w:r>
        <w:rPr>
          <w:rFonts w:ascii="Times New Roman" w:hAnsi="Times New Roman" w:eastAsia="宋体" w:cs="Times New Roman"/>
          <w:szCs w:val="21"/>
        </w:rPr>
        <w:t>．</w:t>
      </w:r>
      <w:r>
        <w:rPr>
          <w:rFonts w:cs="Times New Roman" w:asciiTheme="minorEastAsia" w:hAnsiTheme="minorEastAsia"/>
          <w:szCs w:val="21"/>
        </w:rPr>
        <w:t>加强培养期间的过程管理，第一学年学习专业基础理论，掌握进行科研所必需的基本技能并写出文献综述。从第二年开始在导师指导下进入课题研究和学位论文准备阶段。</w:t>
      </w:r>
      <w:r>
        <w:rPr>
          <w:rFonts w:hint="eastAsia" w:cs="Times New Roman" w:asciiTheme="minorEastAsia" w:hAnsiTheme="minorEastAsia"/>
          <w:szCs w:val="21"/>
        </w:rPr>
        <w:t>博士生</w:t>
      </w:r>
      <w:r>
        <w:rPr>
          <w:rFonts w:cs="Times New Roman" w:asciiTheme="minorEastAsia" w:hAnsiTheme="minorEastAsia"/>
          <w:szCs w:val="21"/>
        </w:rPr>
        <w:t>应在第第四学年末完成博士中期考核。</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80" w:firstLineChars="200"/>
        <w:textAlignment w:val="auto"/>
        <w:rPr>
          <w:rFonts w:ascii="黑体" w:hAnsi="黑体" w:eastAsia="黑体"/>
          <w:sz w:val="24"/>
          <w:szCs w:val="24"/>
        </w:rPr>
      </w:pPr>
      <w:r>
        <w:rPr>
          <w:rFonts w:ascii="黑体" w:hAnsi="黑体" w:eastAsia="黑体"/>
          <w:sz w:val="24"/>
          <w:szCs w:val="24"/>
        </w:rPr>
        <w:t>五、课程设置及学分要求</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本学科学术型培养方案共需修满</w:t>
      </w:r>
      <w:r>
        <w:rPr>
          <w:rFonts w:cs="Times New Roman" w:asciiTheme="minorEastAsia" w:hAnsiTheme="minorEastAsia"/>
          <w:szCs w:val="21"/>
        </w:rPr>
        <w:t>27</w:t>
      </w:r>
      <w:r>
        <w:rPr>
          <w:rFonts w:hint="eastAsia" w:cs="Times New Roman" w:asciiTheme="minorEastAsia" w:hAnsiTheme="minorEastAsia"/>
          <w:szCs w:val="21"/>
        </w:rPr>
        <w:t>学分，其中课程学习</w:t>
      </w:r>
      <w:r>
        <w:rPr>
          <w:rFonts w:cs="Times New Roman" w:asciiTheme="minorEastAsia" w:hAnsiTheme="minorEastAsia"/>
          <w:szCs w:val="21"/>
        </w:rPr>
        <w:t>10</w:t>
      </w:r>
      <w:r>
        <w:rPr>
          <w:rFonts w:hint="eastAsia" w:cs="Times New Roman" w:asciiTheme="minorEastAsia" w:hAnsiTheme="minorEastAsia"/>
          <w:szCs w:val="21"/>
        </w:rPr>
        <w:t>学分，必修环节</w:t>
      </w:r>
      <w:r>
        <w:rPr>
          <w:rFonts w:cs="Times New Roman" w:asciiTheme="minorEastAsia" w:hAnsiTheme="minorEastAsia"/>
          <w:szCs w:val="21"/>
        </w:rPr>
        <w:t>17学分</w:t>
      </w:r>
      <w:r>
        <w:rPr>
          <w:rFonts w:hint="eastAsia" w:cs="Times New Roman" w:asciiTheme="minorEastAsia" w:hAnsiTheme="minorEastAsia"/>
          <w:szCs w:val="21"/>
        </w:rPr>
        <w:t>。</w:t>
      </w:r>
      <w:r>
        <w:rPr>
          <w:rFonts w:cs="Times New Roman" w:asciiTheme="minorEastAsia" w:hAnsiTheme="minorEastAsia"/>
          <w:szCs w:val="21"/>
        </w:rPr>
        <w:t>课程学习包括：学位课6学分，选修课4学分。</w:t>
      </w:r>
    </w:p>
    <w:tbl>
      <w:tblPr>
        <w:tblStyle w:val="37"/>
        <w:tblW w:w="48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510"/>
        <w:gridCol w:w="903"/>
        <w:gridCol w:w="1524"/>
        <w:gridCol w:w="2841"/>
        <w:gridCol w:w="547"/>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7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b/>
                <w:sz w:val="21"/>
                <w:szCs w:val="21"/>
              </w:rPr>
            </w:pPr>
            <w:r>
              <w:rPr>
                <w:rFonts w:hint="eastAsia" w:ascii="宋体" w:hAnsi="宋体" w:eastAsia="宋体" w:cs="宋体"/>
                <w:b/>
                <w:sz w:val="21"/>
                <w:szCs w:val="21"/>
              </w:rPr>
              <w:t>课程性质</w:t>
            </w:r>
          </w:p>
        </w:tc>
        <w:tc>
          <w:tcPr>
            <w:tcW w:w="2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51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b/>
                <w:sz w:val="21"/>
                <w:szCs w:val="21"/>
              </w:rPr>
            </w:pPr>
            <w:r>
              <w:rPr>
                <w:rFonts w:hint="eastAsia" w:ascii="宋体" w:hAnsi="宋体" w:eastAsia="宋体" w:cs="宋体"/>
                <w:b/>
                <w:sz w:val="21"/>
                <w:szCs w:val="21"/>
              </w:rPr>
              <w:t>课程编号</w:t>
            </w:r>
          </w:p>
        </w:tc>
        <w:tc>
          <w:tcPr>
            <w:tcW w:w="8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b/>
                <w:sz w:val="21"/>
                <w:szCs w:val="21"/>
              </w:rPr>
            </w:pPr>
            <w:r>
              <w:rPr>
                <w:rFonts w:hint="eastAsia" w:ascii="宋体" w:hAnsi="宋体" w:eastAsia="宋体" w:cs="宋体"/>
                <w:b/>
                <w:sz w:val="21"/>
                <w:szCs w:val="21"/>
              </w:rPr>
              <w:t>统一编码</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b/>
                <w:sz w:val="21"/>
                <w:szCs w:val="21"/>
              </w:rPr>
            </w:pPr>
            <w:r>
              <w:rPr>
                <w:rFonts w:hint="eastAsia" w:ascii="宋体" w:hAnsi="宋体" w:eastAsia="宋体" w:cs="宋体"/>
                <w:b/>
                <w:sz w:val="21"/>
                <w:szCs w:val="21"/>
              </w:rPr>
              <w:t>课程名称</w:t>
            </w:r>
          </w:p>
        </w:tc>
        <w:tc>
          <w:tcPr>
            <w:tcW w:w="3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b/>
                <w:sz w:val="21"/>
                <w:szCs w:val="21"/>
              </w:rPr>
            </w:pPr>
            <w:r>
              <w:rPr>
                <w:rFonts w:hint="eastAsia" w:ascii="宋体" w:hAnsi="宋体" w:eastAsia="宋体" w:cs="宋体"/>
                <w:b/>
                <w:sz w:val="21"/>
                <w:szCs w:val="21"/>
              </w:rPr>
              <w:t>学分</w:t>
            </w:r>
          </w:p>
        </w:tc>
        <w:tc>
          <w:tcPr>
            <w:tcW w:w="6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b/>
                <w:sz w:val="21"/>
                <w:szCs w:val="21"/>
              </w:rPr>
            </w:pPr>
            <w:r>
              <w:rPr>
                <w:rFonts w:hint="eastAsia" w:ascii="宋体" w:hAnsi="宋体" w:eastAsia="宋体" w:cs="宋体"/>
                <w:b/>
                <w:sz w:val="21"/>
                <w:szCs w:val="21"/>
              </w:rPr>
              <w:t>应修学分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公共学位课</w:t>
            </w:r>
          </w:p>
        </w:tc>
        <w:tc>
          <w:tcPr>
            <w:tcW w:w="288"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510"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141006</w:t>
            </w:r>
          </w:p>
        </w:tc>
        <w:tc>
          <w:tcPr>
            <w:tcW w:w="861"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MLMD600114</w:t>
            </w:r>
          </w:p>
        </w:tc>
        <w:tc>
          <w:tcPr>
            <w:tcW w:w="1605"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中国马克思主义与当代</w:t>
            </w:r>
          </w:p>
        </w:tc>
        <w:tc>
          <w:tcPr>
            <w:tcW w:w="309"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6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2学分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学科学位课</w:t>
            </w:r>
          </w:p>
        </w:tc>
        <w:tc>
          <w:tcPr>
            <w:tcW w:w="288"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510"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152078</w:t>
            </w:r>
          </w:p>
        </w:tc>
        <w:tc>
          <w:tcPr>
            <w:tcW w:w="861"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BASM611815</w:t>
            </w:r>
          </w:p>
        </w:tc>
        <w:tc>
          <w:tcPr>
            <w:tcW w:w="1605"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诺贝尔奖论文剖析</w:t>
            </w:r>
          </w:p>
        </w:tc>
        <w:tc>
          <w:tcPr>
            <w:tcW w:w="309"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6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2学分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288"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51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152131</w:t>
            </w:r>
          </w:p>
        </w:tc>
        <w:tc>
          <w:tcPr>
            <w:tcW w:w="8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PHMA710615</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药物化学（2）</w:t>
            </w:r>
          </w:p>
        </w:tc>
        <w:tc>
          <w:tcPr>
            <w:tcW w:w="3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637"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根据学生的专业选修2学分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288"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51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172014</w:t>
            </w:r>
          </w:p>
        </w:tc>
        <w:tc>
          <w:tcPr>
            <w:tcW w:w="8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PHMA710515</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药剂学（2）</w:t>
            </w:r>
          </w:p>
        </w:tc>
        <w:tc>
          <w:tcPr>
            <w:tcW w:w="3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63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288"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51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172005</w:t>
            </w:r>
          </w:p>
        </w:tc>
        <w:tc>
          <w:tcPr>
            <w:tcW w:w="8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PHMA710415</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生药学（2）</w:t>
            </w:r>
          </w:p>
        </w:tc>
        <w:tc>
          <w:tcPr>
            <w:tcW w:w="3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63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288"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51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172004</w:t>
            </w:r>
          </w:p>
        </w:tc>
        <w:tc>
          <w:tcPr>
            <w:tcW w:w="8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PHMA710315</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药物分析学（2）</w:t>
            </w:r>
          </w:p>
        </w:tc>
        <w:tc>
          <w:tcPr>
            <w:tcW w:w="3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63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288"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51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152133</w:t>
            </w:r>
          </w:p>
        </w:tc>
        <w:tc>
          <w:tcPr>
            <w:tcW w:w="8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PHMA710215</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微生物与生化药学（2）</w:t>
            </w:r>
          </w:p>
        </w:tc>
        <w:tc>
          <w:tcPr>
            <w:tcW w:w="3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63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tc>
        <w:tc>
          <w:tcPr>
            <w:tcW w:w="288"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51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152087</w:t>
            </w:r>
          </w:p>
        </w:tc>
        <w:tc>
          <w:tcPr>
            <w:tcW w:w="8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PHMA710115</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药理学（2）</w:t>
            </w:r>
          </w:p>
        </w:tc>
        <w:tc>
          <w:tcPr>
            <w:tcW w:w="3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63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学科选修课</w:t>
            </w:r>
          </w:p>
        </w:tc>
        <w:tc>
          <w:tcPr>
            <w:tcW w:w="2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51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8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研究生课程目录上选修</w:t>
            </w:r>
          </w:p>
        </w:tc>
        <w:tc>
          <w:tcPr>
            <w:tcW w:w="3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6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其他选修课</w:t>
            </w:r>
          </w:p>
        </w:tc>
        <w:tc>
          <w:tcPr>
            <w:tcW w:w="2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51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153044</w:t>
            </w:r>
          </w:p>
        </w:tc>
        <w:tc>
          <w:tcPr>
            <w:tcW w:w="8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BASM612615</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研究生论文写作指导（15）</w:t>
            </w:r>
          </w:p>
        </w:tc>
        <w:tc>
          <w:tcPr>
            <w:tcW w:w="3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6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1学分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必修环节</w:t>
            </w:r>
          </w:p>
        </w:tc>
        <w:tc>
          <w:tcPr>
            <w:tcW w:w="288"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510"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001999</w:t>
            </w:r>
          </w:p>
        </w:tc>
        <w:tc>
          <w:tcPr>
            <w:tcW w:w="861"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BXHJ800399</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学术活动（讲座）博</w:t>
            </w:r>
          </w:p>
        </w:tc>
        <w:tc>
          <w:tcPr>
            <w:tcW w:w="3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637"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17学分</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288"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510"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001987</w:t>
            </w:r>
          </w:p>
        </w:tc>
        <w:tc>
          <w:tcPr>
            <w:tcW w:w="861"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BXHJ600699</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社会实践</w:t>
            </w:r>
          </w:p>
        </w:tc>
        <w:tc>
          <w:tcPr>
            <w:tcW w:w="3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63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288"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510"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001972</w:t>
            </w:r>
          </w:p>
        </w:tc>
        <w:tc>
          <w:tcPr>
            <w:tcW w:w="861"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BXHJ800799</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两助一辅</w:t>
            </w:r>
          </w:p>
        </w:tc>
        <w:tc>
          <w:tcPr>
            <w:tcW w:w="3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63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288"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510"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001995</w:t>
            </w:r>
          </w:p>
        </w:tc>
        <w:tc>
          <w:tcPr>
            <w:tcW w:w="861"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BXHJ800299</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基金撰写</w:t>
            </w:r>
          </w:p>
        </w:tc>
        <w:tc>
          <w:tcPr>
            <w:tcW w:w="3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63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288"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510"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001970</w:t>
            </w:r>
          </w:p>
        </w:tc>
        <w:tc>
          <w:tcPr>
            <w:tcW w:w="861"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BXHJ800999</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国际化交流</w:t>
            </w:r>
          </w:p>
        </w:tc>
        <w:tc>
          <w:tcPr>
            <w:tcW w:w="3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63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288"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51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001986</w:t>
            </w:r>
          </w:p>
        </w:tc>
        <w:tc>
          <w:tcPr>
            <w:tcW w:w="8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BXHJ800499</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开题报告（博）</w:t>
            </w:r>
          </w:p>
        </w:tc>
        <w:tc>
          <w:tcPr>
            <w:tcW w:w="3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63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288"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7</w:t>
            </w:r>
          </w:p>
        </w:tc>
        <w:tc>
          <w:tcPr>
            <w:tcW w:w="51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001994</w:t>
            </w:r>
          </w:p>
        </w:tc>
        <w:tc>
          <w:tcPr>
            <w:tcW w:w="8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BXHJ800199</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中期考核（博）</w:t>
            </w:r>
          </w:p>
        </w:tc>
        <w:tc>
          <w:tcPr>
            <w:tcW w:w="3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63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288"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8</w:t>
            </w:r>
          </w:p>
        </w:tc>
        <w:tc>
          <w:tcPr>
            <w:tcW w:w="51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001971</w:t>
            </w:r>
          </w:p>
        </w:tc>
        <w:tc>
          <w:tcPr>
            <w:tcW w:w="8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INFT600499</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文献阅读</w:t>
            </w:r>
          </w:p>
        </w:tc>
        <w:tc>
          <w:tcPr>
            <w:tcW w:w="3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63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288"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9</w:t>
            </w:r>
          </w:p>
        </w:tc>
        <w:tc>
          <w:tcPr>
            <w:tcW w:w="510"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001954</w:t>
            </w:r>
          </w:p>
        </w:tc>
        <w:tc>
          <w:tcPr>
            <w:tcW w:w="861"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BXHJ602499</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劳动教育</w:t>
            </w:r>
          </w:p>
        </w:tc>
        <w:tc>
          <w:tcPr>
            <w:tcW w:w="3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w:t>
            </w:r>
          </w:p>
        </w:tc>
        <w:tc>
          <w:tcPr>
            <w:tcW w:w="63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288"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510"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001955</w:t>
            </w:r>
          </w:p>
        </w:tc>
        <w:tc>
          <w:tcPr>
            <w:tcW w:w="861"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BXHJ602399</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美育</w:t>
            </w:r>
          </w:p>
        </w:tc>
        <w:tc>
          <w:tcPr>
            <w:tcW w:w="3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w:t>
            </w:r>
          </w:p>
        </w:tc>
        <w:tc>
          <w:tcPr>
            <w:tcW w:w="63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c>
          <w:tcPr>
            <w:tcW w:w="288"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11</w:t>
            </w:r>
          </w:p>
        </w:tc>
        <w:tc>
          <w:tcPr>
            <w:tcW w:w="510"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001956</w:t>
            </w:r>
          </w:p>
        </w:tc>
        <w:tc>
          <w:tcPr>
            <w:tcW w:w="861"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BXHJ602299</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体育</w:t>
            </w:r>
          </w:p>
        </w:tc>
        <w:tc>
          <w:tcPr>
            <w:tcW w:w="3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0</w:t>
            </w:r>
          </w:p>
        </w:tc>
        <w:tc>
          <w:tcPr>
            <w:tcW w:w="637" w:type="pct"/>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tc>
      </w:tr>
    </w:tbl>
    <w:p>
      <w:pPr>
        <w:spacing w:before="120" w:beforeLines="50" w:after="120" w:afterLines="50" w:line="286" w:lineRule="auto"/>
        <w:rPr>
          <w:rFonts w:ascii="黑体" w:hAnsi="黑体" w:eastAsia="黑体"/>
          <w:sz w:val="24"/>
          <w:szCs w:val="24"/>
        </w:rPr>
      </w:pPr>
      <w:r>
        <w:rPr>
          <w:rFonts w:ascii="黑体" w:hAnsi="黑体" w:eastAsia="黑体"/>
          <w:sz w:val="24"/>
          <w:szCs w:val="24"/>
        </w:rPr>
        <w:t>六、</w:t>
      </w:r>
      <w:r>
        <w:rPr>
          <w:rFonts w:hint="eastAsia" w:ascii="黑体" w:hAnsi="黑体" w:eastAsia="黑体"/>
          <w:sz w:val="24"/>
          <w:szCs w:val="24"/>
        </w:rPr>
        <w:t>必修</w:t>
      </w:r>
      <w:r>
        <w:rPr>
          <w:rFonts w:ascii="黑体" w:hAnsi="黑体" w:eastAsia="黑体"/>
          <w:sz w:val="24"/>
          <w:szCs w:val="24"/>
        </w:rPr>
        <w:t>环节</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．学</w:t>
      </w:r>
      <w:r>
        <w:rPr>
          <w:rFonts w:ascii="Times New Roman" w:hAnsi="Times New Roman" w:eastAsia="宋体" w:cs="Times New Roman"/>
          <w:b/>
          <w:bCs/>
          <w:szCs w:val="21"/>
        </w:rPr>
        <w:t>术活动（讲座）</w:t>
      </w:r>
    </w:p>
    <w:p>
      <w:pPr>
        <w:keepNext w:val="0"/>
        <w:keepLines w:val="0"/>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博士研究生学术活动（讲座）分为必听讲座和选听讲座。必听讲座为</w:t>
      </w:r>
      <w:r>
        <w:rPr>
          <w:rFonts w:cs="Times New Roman" w:asciiTheme="minorEastAsia" w:hAnsiTheme="minorEastAsia"/>
          <w:szCs w:val="21"/>
        </w:rPr>
        <w:t>“科学道德与学风建设”</w:t>
      </w:r>
      <w:r>
        <w:rPr>
          <w:rFonts w:ascii="Times New Roman" w:hAnsi="Times New Roman" w:eastAsia="宋体" w:cs="Times New Roman"/>
          <w:szCs w:val="21"/>
        </w:rPr>
        <w:t>；选听讲座包括与学科紧密相关</w:t>
      </w:r>
      <w:r>
        <w:rPr>
          <w:rFonts w:cs="Times New Roman" w:asciiTheme="minorEastAsia" w:hAnsiTheme="minorEastAsia"/>
          <w:szCs w:val="21"/>
        </w:rPr>
        <w:t>的“学</w:t>
      </w:r>
      <w:r>
        <w:rPr>
          <w:rFonts w:ascii="Times New Roman" w:hAnsi="Times New Roman" w:eastAsia="宋体" w:cs="Times New Roman"/>
          <w:szCs w:val="21"/>
        </w:rPr>
        <w:t>科前沿系列专题</w:t>
      </w:r>
      <w:r>
        <w:rPr>
          <w:rFonts w:cs="Times New Roman" w:asciiTheme="minorEastAsia" w:hAnsiTheme="minorEastAsia"/>
          <w:szCs w:val="21"/>
        </w:rPr>
        <w:t>讲座”（</w:t>
      </w:r>
      <w:r>
        <w:rPr>
          <w:rFonts w:ascii="Times New Roman" w:hAnsi="Times New Roman" w:eastAsia="宋体" w:cs="Times New Roman"/>
          <w:szCs w:val="21"/>
        </w:rPr>
        <w:t>由各二级学科组织若干教授对本学科前沿知识进行讲座，每个讲座由5个以上讲座组成）一个系列和在全校范围内选听</w:t>
      </w:r>
      <w:r>
        <w:rPr>
          <w:rFonts w:cs="Times New Roman" w:asciiTheme="minorEastAsia" w:hAnsiTheme="minorEastAsia"/>
          <w:szCs w:val="21"/>
        </w:rPr>
        <w:t>“学术讲座”</w:t>
      </w:r>
      <w:r>
        <w:rPr>
          <w:rFonts w:ascii="Times New Roman" w:hAnsi="Times New Roman" w:eastAsia="宋体" w:cs="Times New Roman"/>
          <w:szCs w:val="21"/>
        </w:rPr>
        <w:t>1次，自己公开讲座1次，完成后记2学分</w:t>
      </w:r>
      <w:r>
        <w:rPr>
          <w:rFonts w:hint="eastAsia"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w:t>
      </w:r>
      <w:r>
        <w:rPr>
          <w:rFonts w:ascii="Times New Roman" w:hAnsi="Times New Roman" w:eastAsia="宋体" w:cs="Times New Roman"/>
          <w:b/>
          <w:bCs/>
          <w:szCs w:val="21"/>
        </w:rPr>
        <w:t>社会实践</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w:t>
      </w:r>
      <w:r>
        <w:rPr>
          <w:rFonts w:cs="Times New Roman" w:asciiTheme="minorEastAsia" w:hAnsiTheme="minorEastAsia"/>
          <w:szCs w:val="21"/>
        </w:rPr>
        <w:t>社会实践</w:t>
      </w:r>
      <w:r>
        <w:rPr>
          <w:rFonts w:hint="eastAsia" w:cs="Times New Roman" w:asciiTheme="minorEastAsia" w:hAnsiTheme="minorEastAsia"/>
          <w:szCs w:val="21"/>
        </w:rPr>
        <w:t>”</w:t>
      </w:r>
      <w:r>
        <w:rPr>
          <w:rFonts w:cs="Times New Roman" w:asciiTheme="minorEastAsia" w:hAnsiTheme="minorEastAsia"/>
          <w:szCs w:val="21"/>
        </w:rPr>
        <w:t>是指研究生在校学习期间，除完成本学科规定的业务实践外，接触社会、了解社会、服务社会的实践活动。</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可以通过组织和参与社会调查、支教、扶贫及其他志愿者服务等方式进行，提倡以小组或团队形式开展活动，累计不少于</w:t>
      </w:r>
      <w:r>
        <w:rPr>
          <w:rFonts w:ascii="Times New Roman" w:hAnsi="Times New Roman" w:cs="Times New Roman"/>
          <w:szCs w:val="21"/>
        </w:rPr>
        <w:t>10</w:t>
      </w:r>
      <w:r>
        <w:rPr>
          <w:rFonts w:cs="Times New Roman" w:asciiTheme="minorEastAsia" w:hAnsiTheme="minorEastAsia"/>
          <w:szCs w:val="21"/>
        </w:rPr>
        <w:t>个工作日。</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研</w:t>
      </w:r>
      <w:r>
        <w:rPr>
          <w:rFonts w:cs="Times New Roman" w:asciiTheme="minorEastAsia" w:hAnsiTheme="minorEastAsia"/>
          <w:spacing w:val="-2"/>
          <w:szCs w:val="21"/>
        </w:rPr>
        <w:t>究生完成</w:t>
      </w:r>
      <w:r>
        <w:rPr>
          <w:rFonts w:hint="eastAsia" w:cs="Times New Roman" w:asciiTheme="minorEastAsia" w:hAnsiTheme="minorEastAsia"/>
          <w:spacing w:val="-2"/>
          <w:szCs w:val="21"/>
        </w:rPr>
        <w:t>“</w:t>
      </w:r>
      <w:r>
        <w:rPr>
          <w:rFonts w:cs="Times New Roman" w:asciiTheme="minorEastAsia" w:hAnsiTheme="minorEastAsia"/>
          <w:spacing w:val="-2"/>
          <w:szCs w:val="21"/>
        </w:rPr>
        <w:t>社会实践</w:t>
      </w:r>
      <w:r>
        <w:rPr>
          <w:rFonts w:hint="eastAsia" w:cs="Times New Roman" w:asciiTheme="minorEastAsia" w:hAnsiTheme="minorEastAsia"/>
          <w:spacing w:val="-2"/>
          <w:szCs w:val="21"/>
        </w:rPr>
        <w:t>”</w:t>
      </w:r>
      <w:r>
        <w:rPr>
          <w:rFonts w:cs="Times New Roman" w:asciiTheme="minorEastAsia" w:hAnsiTheme="minorEastAsia"/>
          <w:spacing w:val="-2"/>
          <w:szCs w:val="21"/>
        </w:rPr>
        <w:t>活动后，需撰写不少于</w:t>
      </w:r>
      <w:r>
        <w:rPr>
          <w:rFonts w:ascii="Times New Roman" w:hAnsi="Times New Roman" w:cs="Times New Roman"/>
          <w:spacing w:val="-2"/>
          <w:szCs w:val="21"/>
        </w:rPr>
        <w:t>3000</w:t>
      </w:r>
      <w:r>
        <w:rPr>
          <w:rFonts w:cs="Times New Roman" w:asciiTheme="minorEastAsia" w:hAnsiTheme="minorEastAsia"/>
          <w:spacing w:val="-2"/>
          <w:szCs w:val="21"/>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rFonts w:ascii="Times New Roman" w:hAnsi="Times New Roman" w:cs="Times New Roman"/>
          <w:spacing w:val="-2"/>
          <w:szCs w:val="21"/>
        </w:rPr>
        <w:t>1</w:t>
      </w:r>
      <w:r>
        <w:rPr>
          <w:rFonts w:cs="Times New Roman" w:asciiTheme="minorEastAsia" w:hAnsiTheme="minorEastAsia"/>
          <w:spacing w:val="-2"/>
          <w:szCs w:val="21"/>
        </w:rPr>
        <w:t>学分。</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w:t>
      </w:r>
      <w:r>
        <w:rPr>
          <w:rFonts w:ascii="Times New Roman" w:hAnsi="Times New Roman" w:eastAsia="宋体" w:cs="Times New Roman"/>
          <w:b/>
          <w:bCs/>
          <w:szCs w:val="21"/>
        </w:rPr>
        <w:t>两助一辅</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w:t>
      </w:r>
      <w:r>
        <w:rPr>
          <w:rFonts w:cs="Times New Roman" w:asciiTheme="minorEastAsia" w:hAnsiTheme="minorEastAsia"/>
          <w:szCs w:val="21"/>
        </w:rPr>
        <w:t>两助一辅</w:t>
      </w:r>
      <w:r>
        <w:rPr>
          <w:rFonts w:hint="eastAsia" w:cs="Times New Roman" w:asciiTheme="minorEastAsia" w:hAnsiTheme="minorEastAsia"/>
          <w:szCs w:val="21"/>
        </w:rPr>
        <w:t>”</w:t>
      </w:r>
      <w:r>
        <w:rPr>
          <w:rFonts w:cs="Times New Roman" w:asciiTheme="minorEastAsia" w:hAnsiTheme="minorEastAsia"/>
          <w:szCs w:val="21"/>
        </w:rPr>
        <w:t>是指研究生担任助教、助管和辅导员工作，其目的是培养研究生的综合能力，是研究生培养过程的有机组成部分。</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全日制博士研究生在培养过程中必须完成至少一个标准岗位的助教、助管或辅导员工作。该环节纳入学分管理，通过后记</w:t>
      </w:r>
      <w:r>
        <w:rPr>
          <w:rFonts w:ascii="Times New Roman" w:hAnsi="Times New Roman" w:cs="Times New Roman"/>
          <w:szCs w:val="21"/>
        </w:rPr>
        <w:t>2</w:t>
      </w:r>
      <w:r>
        <w:rPr>
          <w:rFonts w:cs="Times New Roman" w:asciiTheme="minorEastAsia" w:hAnsiTheme="minorEastAsia"/>
          <w:szCs w:val="21"/>
        </w:rPr>
        <w:t>学分。</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4</w:t>
      </w:r>
      <w:r>
        <w:rPr>
          <w:rFonts w:hint="eastAsia" w:ascii="Times New Roman" w:hAnsi="Times New Roman" w:eastAsia="宋体" w:cs="Times New Roman"/>
          <w:b/>
          <w:bCs/>
          <w:szCs w:val="21"/>
        </w:rPr>
        <w:t>．</w:t>
      </w:r>
      <w:r>
        <w:rPr>
          <w:rFonts w:ascii="Times New Roman" w:hAnsi="Times New Roman" w:eastAsia="宋体" w:cs="Times New Roman"/>
          <w:b/>
          <w:bCs/>
          <w:szCs w:val="21"/>
        </w:rPr>
        <w:t>基金撰写</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kern w:val="0"/>
          <w:szCs w:val="21"/>
        </w:rPr>
      </w:pPr>
      <w:r>
        <w:rPr>
          <w:rFonts w:hint="eastAsia" w:cs="Times New Roman" w:asciiTheme="minorEastAsia" w:hAnsiTheme="minorEastAsia"/>
          <w:szCs w:val="21"/>
        </w:rPr>
        <w:t>博士</w:t>
      </w:r>
      <w:r>
        <w:rPr>
          <w:rFonts w:cs="Times New Roman" w:asciiTheme="minorEastAsia" w:hAnsiTheme="minorEastAsia"/>
          <w:szCs w:val="21"/>
        </w:rPr>
        <w:t>研究生在学习期间，须在导师指导下，完成一项国家科研基金申请书的撰写，培养博士生申请科研项目的能力，导师同意通过后，记</w:t>
      </w:r>
      <w:r>
        <w:rPr>
          <w:rFonts w:ascii="Times New Roman" w:hAnsi="Times New Roman" w:cs="Times New Roman"/>
          <w:szCs w:val="21"/>
        </w:rPr>
        <w:t>1</w:t>
      </w:r>
      <w:r>
        <w:rPr>
          <w:rFonts w:cs="Times New Roman" w:asciiTheme="minorEastAsia" w:hAnsiTheme="minorEastAsia"/>
          <w:szCs w:val="21"/>
        </w:rPr>
        <w:t>学分。</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5</w:t>
      </w:r>
      <w:r>
        <w:rPr>
          <w:rFonts w:hint="eastAsia" w:ascii="Times New Roman" w:hAnsi="Times New Roman" w:eastAsia="宋体" w:cs="Times New Roman"/>
          <w:b/>
          <w:bCs/>
          <w:szCs w:val="21"/>
        </w:rPr>
        <w:t>．</w:t>
      </w:r>
      <w:r>
        <w:rPr>
          <w:rFonts w:ascii="Times New Roman" w:hAnsi="Times New Roman" w:eastAsia="宋体" w:cs="Times New Roman"/>
          <w:b/>
          <w:bCs/>
          <w:szCs w:val="21"/>
        </w:rPr>
        <w:t>国际化交流</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kern w:val="0"/>
          <w:szCs w:val="21"/>
        </w:rPr>
        <w:t>立足于培养</w:t>
      </w:r>
      <w:r>
        <w:rPr>
          <w:rFonts w:hint="eastAsia" w:cs="Times New Roman" w:asciiTheme="minorEastAsia" w:hAnsiTheme="minorEastAsia"/>
          <w:kern w:val="0"/>
          <w:szCs w:val="21"/>
        </w:rPr>
        <w:t>博士</w:t>
      </w:r>
      <w:r>
        <w:rPr>
          <w:rFonts w:cs="Times New Roman" w:asciiTheme="minorEastAsia" w:hAnsiTheme="minorEastAsia"/>
          <w:kern w:val="0"/>
          <w:szCs w:val="21"/>
        </w:rPr>
        <w:t>研究生的全球化视野，</w:t>
      </w:r>
      <w:r>
        <w:rPr>
          <w:rFonts w:cs="Times New Roman" w:asciiTheme="minorEastAsia" w:hAnsiTheme="minorEastAsia"/>
          <w:szCs w:val="21"/>
        </w:rPr>
        <w:t>研究生在校期间，达到以下条件之一记1学分：</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1</w:t>
      </w:r>
      <w:r>
        <w:rPr>
          <w:rFonts w:cs="Times New Roman" w:asciiTheme="minorEastAsia" w:hAnsiTheme="minorEastAsia"/>
          <w:szCs w:val="21"/>
        </w:rPr>
        <w:t>）</w:t>
      </w:r>
      <w:r>
        <w:rPr>
          <w:rFonts w:hint="eastAsia" w:ascii="Times New Roman" w:hAnsi="Times New Roman" w:cs="Times New Roman"/>
          <w:szCs w:val="21"/>
        </w:rPr>
        <w:t>CSC</w:t>
      </w:r>
      <w:r>
        <w:rPr>
          <w:rFonts w:hint="eastAsia" w:cs="Times New Roman" w:asciiTheme="minorEastAsia" w:hAnsiTheme="minorEastAsia"/>
          <w:szCs w:val="21"/>
        </w:rPr>
        <w:t>项目；</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2</w:t>
      </w:r>
      <w:r>
        <w:rPr>
          <w:rFonts w:cs="Times New Roman" w:asciiTheme="minorEastAsia" w:hAnsiTheme="minorEastAsia"/>
          <w:szCs w:val="21"/>
        </w:rPr>
        <w:t>）</w:t>
      </w:r>
      <w:r>
        <w:rPr>
          <w:rFonts w:hint="eastAsia" w:cs="Times New Roman" w:asciiTheme="minorEastAsia" w:hAnsiTheme="minorEastAsia"/>
          <w:szCs w:val="21"/>
        </w:rPr>
        <w:t>与国（境）外</w:t>
      </w:r>
      <w:r>
        <w:rPr>
          <w:rFonts w:cs="Times New Roman" w:asciiTheme="minorEastAsia" w:hAnsiTheme="minorEastAsia"/>
          <w:szCs w:val="21"/>
        </w:rPr>
        <w:t>联合培养；</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3</w:t>
      </w:r>
      <w:r>
        <w:rPr>
          <w:rFonts w:cs="Times New Roman" w:asciiTheme="minorEastAsia" w:hAnsiTheme="minorEastAsia"/>
          <w:szCs w:val="21"/>
        </w:rPr>
        <w:t>）</w:t>
      </w:r>
      <w:r>
        <w:rPr>
          <w:rFonts w:hint="eastAsia" w:cs="Times New Roman" w:asciiTheme="minorEastAsia" w:hAnsiTheme="minorEastAsia"/>
          <w:szCs w:val="21"/>
        </w:rPr>
        <w:t>国（境）外</w:t>
      </w:r>
      <w:r>
        <w:rPr>
          <w:rFonts w:cs="Times New Roman" w:asciiTheme="minorEastAsia" w:hAnsiTheme="minorEastAsia"/>
          <w:szCs w:val="21"/>
        </w:rPr>
        <w:t>短期出</w:t>
      </w:r>
      <w:r>
        <w:rPr>
          <w:rFonts w:hint="eastAsia" w:cs="Times New Roman" w:asciiTheme="minorEastAsia" w:hAnsiTheme="minorEastAsia"/>
          <w:szCs w:val="21"/>
        </w:rPr>
        <w:t>访、国际组织实习（三个月以上）；</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4</w:t>
      </w:r>
      <w:r>
        <w:rPr>
          <w:rFonts w:cs="Times New Roman" w:asciiTheme="minorEastAsia" w:hAnsiTheme="minorEastAsia"/>
          <w:szCs w:val="21"/>
        </w:rPr>
        <w:t>）国内外举办的</w:t>
      </w:r>
      <w:r>
        <w:rPr>
          <w:rFonts w:hint="eastAsia" w:cs="Times New Roman" w:asciiTheme="minorEastAsia" w:hAnsiTheme="minorEastAsia"/>
          <w:szCs w:val="21"/>
        </w:rPr>
        <w:t>高水平</w:t>
      </w:r>
      <w:r>
        <w:rPr>
          <w:rFonts w:cs="Times New Roman" w:asciiTheme="minorEastAsia" w:hAnsiTheme="minorEastAsia"/>
          <w:szCs w:val="21"/>
        </w:rPr>
        <w:t>国际</w:t>
      </w:r>
      <w:r>
        <w:rPr>
          <w:rFonts w:hint="eastAsia" w:cs="Times New Roman" w:asciiTheme="minorEastAsia" w:hAnsiTheme="minorEastAsia"/>
          <w:szCs w:val="21"/>
        </w:rPr>
        <w:t>学术</w:t>
      </w:r>
      <w:r>
        <w:rPr>
          <w:rFonts w:cs="Times New Roman" w:asciiTheme="minorEastAsia" w:hAnsiTheme="minorEastAsia"/>
          <w:szCs w:val="21"/>
        </w:rPr>
        <w:t>会议（参加、投稿被书面收录、壁报、小组发言、大会发言，均被认可，但需提供详细的书面证明邀请信、参会照片、收录节选、壁报展示及照片、小组发言或大会发言照片等）；</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5</w:t>
      </w:r>
      <w:r>
        <w:rPr>
          <w:rFonts w:ascii="Times New Roman" w:hAnsi="Times New Roman" w:cs="Times New Roman"/>
          <w:szCs w:val="21"/>
        </w:rPr>
        <w:t>）</w:t>
      </w:r>
      <w:r>
        <w:rPr>
          <w:rFonts w:hint="eastAsia" w:cs="Times New Roman" w:asciiTheme="minorEastAsia" w:hAnsiTheme="minorEastAsia"/>
          <w:szCs w:val="21"/>
        </w:rPr>
        <w:t>选修国外高校全英文在线课程（</w:t>
      </w:r>
      <w:r>
        <w:rPr>
          <w:rFonts w:hint="eastAsia" w:ascii="Times New Roman" w:hAnsi="Times New Roman" w:cs="Times New Roman"/>
          <w:szCs w:val="21"/>
        </w:rPr>
        <w:t>MOOC</w:t>
      </w:r>
      <w:r>
        <w:rPr>
          <w:rFonts w:hint="eastAsia" w:cs="Times New Roman" w:asciiTheme="minorEastAsia" w:hAnsiTheme="minorEastAsia"/>
          <w:szCs w:val="21"/>
        </w:rPr>
        <w:t>），并取得合格证书；</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6</w:t>
      </w:r>
      <w:r>
        <w:rPr>
          <w:rFonts w:cs="Times New Roman" w:asciiTheme="minorEastAsia" w:hAnsiTheme="minorEastAsia"/>
          <w:szCs w:val="21"/>
        </w:rPr>
        <w:t>）</w:t>
      </w:r>
      <w:r>
        <w:rPr>
          <w:rFonts w:hint="eastAsia" w:cs="Times New Roman" w:asciiTheme="minorEastAsia" w:hAnsiTheme="minorEastAsia"/>
          <w:szCs w:val="21"/>
        </w:rPr>
        <w:t>参加国际专业竞赛并获奖。</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6．文献</w:t>
      </w:r>
      <w:r>
        <w:rPr>
          <w:rFonts w:ascii="Times New Roman" w:hAnsi="Times New Roman" w:eastAsia="宋体" w:cs="Times New Roman"/>
          <w:b/>
          <w:bCs/>
          <w:szCs w:val="21"/>
        </w:rPr>
        <w:t>阅读</w:t>
      </w:r>
    </w:p>
    <w:p>
      <w:pPr>
        <w:keepNext w:val="0"/>
        <w:keepLines w:val="0"/>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博士研究生</w:t>
      </w:r>
      <w:r>
        <w:rPr>
          <w:rFonts w:ascii="Times New Roman" w:hAnsi="Times New Roman" w:eastAsia="宋体" w:cs="Times New Roman"/>
          <w:szCs w:val="21"/>
        </w:rPr>
        <w:t>在第</w:t>
      </w:r>
      <w:r>
        <w:rPr>
          <w:rFonts w:hint="eastAsia" w:ascii="Times New Roman" w:hAnsi="Times New Roman" w:eastAsia="宋体" w:cs="Times New Roman"/>
          <w:szCs w:val="21"/>
        </w:rPr>
        <w:t>三</w:t>
      </w:r>
      <w:r>
        <w:rPr>
          <w:rFonts w:ascii="Times New Roman" w:hAnsi="Times New Roman" w:eastAsia="宋体" w:cs="Times New Roman"/>
          <w:szCs w:val="21"/>
        </w:rPr>
        <w:t>学</w:t>
      </w:r>
      <w:r>
        <w:rPr>
          <w:rFonts w:hint="eastAsia" w:ascii="Times New Roman" w:hAnsi="Times New Roman" w:eastAsia="宋体" w:cs="Times New Roman"/>
          <w:szCs w:val="21"/>
        </w:rPr>
        <w:t>期</w:t>
      </w:r>
      <w:r>
        <w:rPr>
          <w:rFonts w:ascii="Times New Roman" w:hAnsi="Times New Roman" w:eastAsia="宋体" w:cs="Times New Roman"/>
          <w:szCs w:val="21"/>
        </w:rPr>
        <w:t>完成</w:t>
      </w:r>
      <w:r>
        <w:rPr>
          <w:rFonts w:hint="eastAsia" w:ascii="Times New Roman" w:hAnsi="Times New Roman" w:eastAsia="宋体" w:cs="Times New Roman"/>
          <w:szCs w:val="21"/>
        </w:rPr>
        <w:t>文献阅读</w:t>
      </w:r>
      <w:r>
        <w:rPr>
          <w:rFonts w:ascii="Times New Roman" w:hAnsi="Times New Roman" w:eastAsia="宋体" w:cs="Times New Roman"/>
          <w:szCs w:val="21"/>
        </w:rPr>
        <w:t>考核</w:t>
      </w:r>
      <w:r>
        <w:rPr>
          <w:rFonts w:hint="eastAsia" w:ascii="Times New Roman" w:hAnsi="Times New Roman" w:eastAsia="宋体" w:cs="Times New Roman"/>
          <w:szCs w:val="21"/>
        </w:rPr>
        <w:t>。</w:t>
      </w:r>
    </w:p>
    <w:p>
      <w:pPr>
        <w:keepNext w:val="0"/>
        <w:keepLines w:val="0"/>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文献阅读是引领研究生特别是博士生夯实学术根基、迅速进入学科专业研究领域和培养研究生科研素养的重要手段，是课程知识扩展和补充的重要方式。学生入学后</w:t>
      </w:r>
      <w:r>
        <w:rPr>
          <w:rFonts w:ascii="Times New Roman" w:hAnsi="Times New Roman" w:eastAsia="宋体" w:cs="Times New Roman"/>
          <w:szCs w:val="21"/>
        </w:rPr>
        <w:t>结合学科发展和论文研究方向，在导师指导下阅读国内外文献资料。</w:t>
      </w:r>
      <w:r>
        <w:rPr>
          <w:rFonts w:hint="eastAsia" w:ascii="Times New Roman" w:hAnsi="Times New Roman" w:eastAsia="宋体" w:cs="Times New Roman"/>
          <w:szCs w:val="21"/>
        </w:rPr>
        <w:t>考核形式采用提交文献综述形式（要求字数不少于</w:t>
      </w:r>
      <w:r>
        <w:rPr>
          <w:rFonts w:ascii="Times New Roman" w:hAnsi="Times New Roman" w:eastAsia="宋体" w:cs="Times New Roman"/>
          <w:szCs w:val="21"/>
        </w:rPr>
        <w:t>5000</w:t>
      </w:r>
      <w:r>
        <w:rPr>
          <w:rFonts w:hint="eastAsia" w:ascii="Times New Roman" w:hAnsi="Times New Roman" w:eastAsia="宋体" w:cs="Times New Roman"/>
          <w:szCs w:val="21"/>
        </w:rPr>
        <w:t>字，参考文献应包含中文文献和外文文献，综述文献不少于</w:t>
      </w:r>
      <w:r>
        <w:rPr>
          <w:rFonts w:ascii="Times New Roman" w:hAnsi="Times New Roman" w:eastAsia="宋体" w:cs="Times New Roman"/>
          <w:szCs w:val="21"/>
        </w:rPr>
        <w:t>60</w:t>
      </w:r>
      <w:r>
        <w:rPr>
          <w:rFonts w:hint="eastAsia" w:ascii="Times New Roman" w:hAnsi="Times New Roman" w:eastAsia="宋体" w:cs="Times New Roman"/>
          <w:szCs w:val="21"/>
        </w:rPr>
        <w:t>篇），导师签字确认后提交，学院组织评审专家对综述报告的选题、格式、内容以及书面表达能力等进行评审，审核通过者，记</w:t>
      </w:r>
      <w:r>
        <w:rPr>
          <w:rFonts w:ascii="Times New Roman" w:hAnsi="Times New Roman" w:eastAsia="宋体" w:cs="Times New Roman"/>
          <w:szCs w:val="21"/>
        </w:rPr>
        <w:t>2</w:t>
      </w:r>
      <w:r>
        <w:rPr>
          <w:rFonts w:hint="eastAsia" w:ascii="Times New Roman" w:hAnsi="Times New Roman" w:eastAsia="宋体" w:cs="Times New Roman"/>
          <w:szCs w:val="21"/>
        </w:rPr>
        <w:t>学分。审核未通过者，按照专家审核意见完成修改后提交学院进行二次评审。经两次审核都未通过者，不记入学分。考核工作由医学部各学院统一安排。</w:t>
      </w:r>
    </w:p>
    <w:p>
      <w:pPr>
        <w:keepNext w:val="0"/>
        <w:keepLines w:val="0"/>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文献阅读考核需在博士生中期考核前完成考核。</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7</w:t>
      </w:r>
      <w:r>
        <w:rPr>
          <w:rFonts w:hint="eastAsia" w:ascii="Times New Roman" w:hAnsi="Times New Roman" w:eastAsia="宋体" w:cs="Times New Roman"/>
          <w:b/>
          <w:bCs/>
          <w:szCs w:val="21"/>
        </w:rPr>
        <w:t>．</w:t>
      </w:r>
      <w:r>
        <w:rPr>
          <w:rFonts w:ascii="Times New Roman" w:hAnsi="Times New Roman" w:eastAsia="宋体" w:cs="Times New Roman"/>
          <w:b/>
          <w:bCs/>
          <w:szCs w:val="21"/>
        </w:rPr>
        <w:t>开题报告</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开题报告一般应在第三学期前完成，具体时间由导师或院系决定，并上报学院（系）教学管理部门备案。从开题报告通过至申请论文答辩的时间一般不少于一年。开题报告由医学部各学院（系）组织，应以学术活动的形式在学院（系）内公开进行，并邀请相关教师和研究生参加。各学院（系）邀请本学院督导列席旁听并打分。开题报告评审专家小组由3-5名校内外博士生导师组成（导师及导师团队成员为主体）。考查内容包括：文献综述、选题意义与科学依据、研究基础、研究内容与计划、工作难点及特色、预期成果以及可能产生的创新点、论文选题与学科的匹配度等。经评审通过的开题报告，须以书面形式交医学部人才培养处审核备案。</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8</w:t>
      </w:r>
      <w:r>
        <w:rPr>
          <w:rFonts w:hint="eastAsia" w:ascii="Times New Roman" w:hAnsi="Times New Roman" w:eastAsia="宋体" w:cs="Times New Roman"/>
          <w:b/>
          <w:bCs/>
          <w:szCs w:val="21"/>
        </w:rPr>
        <w:t>．</w:t>
      </w:r>
      <w:r>
        <w:rPr>
          <w:rFonts w:ascii="Times New Roman" w:hAnsi="Times New Roman" w:eastAsia="宋体" w:cs="Times New Roman"/>
          <w:b/>
          <w:bCs/>
          <w:szCs w:val="21"/>
        </w:rPr>
        <w:t>中期考核</w:t>
      </w:r>
    </w:p>
    <w:p>
      <w:pPr>
        <w:keepNext w:val="0"/>
        <w:keepLines w:val="0"/>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中期考核一般安排在第四学期（贯通培养研究生转为博士生培养后可在第三学期，以直攻博方式进入贯通式培养体系的学生，自第三学年起至第四学年末完成中期考核）进行。中期考核由院系组织，应以学术活动的形式公开进行，考核小组由5-7名本学科或相关学科博士生导师组成。中期考核内容包括：学科基础综合考试（含学科基础文献集阅读）、业务表现与论文工作进展、论文选题与学科的匹配度、综合能力等方面。研究生提交由导师签字的课程成绩、课题研究进展报告等书面材料后，方可参加中期考核。中期考核所有评审材料，须在医学部人才培养处审核备案。</w:t>
      </w:r>
    </w:p>
    <w:p>
      <w:pPr>
        <w:keepNext w:val="0"/>
        <w:keepLines w:val="0"/>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博士研究生应按时参加中期考核，如有特殊情况需延期参加，须本人申请并获得批准后参加补考核，具体时间由医学部人才培养处确定。</w:t>
      </w:r>
    </w:p>
    <w:p>
      <w:pPr>
        <w:keepNext w:val="0"/>
        <w:keepLines w:val="0"/>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中期考核具体要求参照《西安交通大学关于博士研究生中期考核的若干规定》（西交研〔2014〕25号）执行。</w:t>
      </w:r>
    </w:p>
    <w:p>
      <w:pPr>
        <w:keepNext w:val="0"/>
        <w:keepLines w:val="0"/>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研究生的开题报告和中期报告中应包含实验安全风险评估的内容。</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9</w:t>
      </w:r>
      <w:r>
        <w:rPr>
          <w:rFonts w:hint="eastAsia" w:ascii="Times New Roman" w:hAnsi="Times New Roman" w:eastAsia="宋体" w:cs="Times New Roman"/>
          <w:b/>
          <w:bCs/>
          <w:szCs w:val="21"/>
        </w:rPr>
        <w:t>．</w:t>
      </w:r>
      <w:r>
        <w:rPr>
          <w:rFonts w:ascii="Times New Roman" w:hAnsi="Times New Roman" w:eastAsia="宋体" w:cs="Times New Roman"/>
          <w:b/>
          <w:bCs/>
          <w:szCs w:val="21"/>
        </w:rPr>
        <w:t>最终学术报告（预答辩）</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博士研究生完成学位论文后，须在医学部或医学部各院（系）范围内进行公开预答辩，报告自己的研究成果。预答辩专家组由5名本学科或相关学科专家组成，其中至少3人为博士生导师。各学院（系）邀请本学院督导或相关学科专家列席旁听。在预答辩中，须严格审查论文选题的前沿性、理论及现实意义，学位论文是否有独立见解，学位论文的工作量，研究工作的系统性、完整性，论文选题与学科的匹配度等。</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对预答辩中提出的问题，博士研究生应认真修改与补充，填写修改说明表，经导师签字同意并报预答辩专家组组长签字同意后，方可进入论文评阅、答辩环节。对于未获得通过的学位论文，博士研究生应修改后重新进行预答辩。</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对于未获得通过和</w:t>
      </w:r>
      <w:r>
        <w:rPr>
          <w:rFonts w:cs="Times New Roman" w:asciiTheme="minorEastAsia" w:hAnsiTheme="minorEastAsia"/>
          <w:szCs w:val="21"/>
        </w:rPr>
        <w:t>问题较多的学位论文要经过研究生修改后重新组织预答辩。</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预答辩具体参照《西安交通大学学位授予工作暂行办法》（西交研〔2003〕14号）执行。</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bCs/>
          <w:szCs w:val="21"/>
        </w:rPr>
      </w:pPr>
      <w:r>
        <w:rPr>
          <w:rFonts w:ascii="Times New Roman" w:hAnsi="Times New Roman" w:eastAsia="宋体"/>
          <w:bCs/>
          <w:szCs w:val="21"/>
        </w:rPr>
        <w:t>10.体育、美育、劳动教育</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bCs/>
          <w:szCs w:val="21"/>
        </w:rPr>
      </w:pPr>
      <w:r>
        <w:rPr>
          <w:rFonts w:hint="eastAsia" w:ascii="Times New Roman" w:hAnsi="Times New Roman" w:eastAsia="宋体"/>
          <w:bCs/>
          <w:szCs w:val="21"/>
        </w:rPr>
        <w:t>研究生依据当年的体育、美育、劳动教育研修指南，结合个人兴趣爱好和培养计划安排，制定个人体育、美育、劳动教育环节研修计划并开展研修，由体育、美育、劳动教育牵头单位对环节是否“通过”给予认定。</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11</w:t>
      </w:r>
      <w:r>
        <w:rPr>
          <w:rFonts w:hint="eastAsia" w:ascii="Times New Roman" w:hAnsi="Times New Roman" w:eastAsia="宋体" w:cs="Times New Roman"/>
          <w:b/>
          <w:bCs/>
          <w:szCs w:val="21"/>
        </w:rPr>
        <w:t>．</w:t>
      </w:r>
      <w:r>
        <w:rPr>
          <w:rFonts w:ascii="Times New Roman" w:hAnsi="Times New Roman" w:eastAsia="宋体" w:cs="Times New Roman"/>
          <w:b/>
          <w:bCs/>
          <w:szCs w:val="21"/>
        </w:rPr>
        <w:t>学术论文</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博士生应在导师的指导下，根据研究方向确定研究课题，课题需结合国民经济发展需求和学科发展趋势，具有前瞻性和理论价值，达到本学科前沿，博士研究生应独立完成具有一定学术水平和价值的学位论文。论文答辩</w:t>
      </w:r>
      <w:r>
        <w:rPr>
          <w:rFonts w:hint="eastAsia" w:cs="Times New Roman" w:asciiTheme="minorEastAsia" w:hAnsiTheme="minorEastAsia"/>
          <w:szCs w:val="21"/>
        </w:rPr>
        <w:t>具体参照</w:t>
      </w:r>
      <w:r>
        <w:rPr>
          <w:rFonts w:cs="Times New Roman" w:asciiTheme="minorEastAsia" w:hAnsiTheme="minorEastAsia"/>
          <w:szCs w:val="21"/>
        </w:rPr>
        <w:t>《西安交通大学学位授予工作暂行办法》（西交研〔2003〕14号）执行。</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200" w:firstLineChars="200"/>
        <w:textAlignment w:val="auto"/>
        <w:rPr>
          <w:rFonts w:cs="Times New Roman" w:asciiTheme="minorEastAsia" w:hAnsiTheme="minorEastAsia"/>
          <w:sz w:val="10"/>
          <w:szCs w:val="10"/>
        </w:rPr>
      </w:pPr>
    </w:p>
    <w:p>
      <w:pPr>
        <w:keepNext w:val="0"/>
        <w:keepLines w:val="0"/>
        <w:pageBreakBefore w:val="0"/>
        <w:widowControl w:val="0"/>
        <w:kinsoku/>
        <w:wordWrap/>
        <w:overflowPunct/>
        <w:topLinePunct w:val="0"/>
        <w:autoSpaceDE/>
        <w:autoSpaceDN/>
        <w:bidi w:val="0"/>
        <w:spacing w:before="95" w:beforeLines="30" w:after="95" w:afterLines="30" w:line="300" w:lineRule="auto"/>
        <w:ind w:firstLine="562" w:firstLineChars="200"/>
        <w:textAlignment w:val="auto"/>
        <w:rPr>
          <w:rFonts w:ascii="楷体_GB2312" w:hAnsi="Times New Roman" w:eastAsia="楷体_GB2312" w:cs="Times New Roman"/>
          <w:b/>
          <w:bCs/>
          <w:sz w:val="28"/>
          <w:szCs w:val="28"/>
        </w:rPr>
      </w:pPr>
      <w:r>
        <w:rPr>
          <w:rFonts w:hint="eastAsia" w:ascii="楷体_GB2312" w:hAnsi="Times New Roman" w:eastAsia="楷体_GB2312" w:cs="Times New Roman"/>
          <w:b/>
          <w:bCs/>
          <w:sz w:val="28"/>
          <w:szCs w:val="28"/>
        </w:rPr>
        <w:t>★护理学</w:t>
      </w:r>
      <w:r>
        <w:rPr>
          <w:rFonts w:ascii="楷体_GB2312" w:hAnsi="Times New Roman" w:eastAsia="楷体_GB2312" w:cs="Times New Roman"/>
          <w:b/>
          <w:bCs/>
          <w:sz w:val="28"/>
          <w:szCs w:val="28"/>
        </w:rPr>
        <w:t>（10</w:t>
      </w:r>
      <w:r>
        <w:rPr>
          <w:rFonts w:hint="eastAsia" w:ascii="楷体_GB2312" w:hAnsi="Times New Roman" w:eastAsia="楷体_GB2312" w:cs="Times New Roman"/>
          <w:b/>
          <w:bCs/>
          <w:sz w:val="28"/>
          <w:szCs w:val="28"/>
        </w:rPr>
        <w:t>11</w:t>
      </w:r>
      <w:r>
        <w:rPr>
          <w:rFonts w:ascii="楷体_GB2312" w:hAnsi="Times New Roman" w:eastAsia="楷体_GB2312" w:cs="Times New Roman"/>
          <w:b/>
          <w:bCs/>
          <w:sz w:val="28"/>
          <w:szCs w:val="28"/>
        </w:rPr>
        <w:t xml:space="preserve">）攻读博士学位（学术型）研究生培养方案 </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80" w:firstLineChars="200"/>
        <w:textAlignment w:val="auto"/>
        <w:rPr>
          <w:rFonts w:ascii="黑体" w:hAnsi="黑体" w:eastAsia="黑体"/>
          <w:sz w:val="24"/>
          <w:szCs w:val="24"/>
        </w:rPr>
      </w:pPr>
      <w:bookmarkStart w:id="346" w:name="_Toc519846419"/>
      <w:bookmarkStart w:id="347" w:name="_Toc520822639"/>
      <w:r>
        <w:rPr>
          <w:rFonts w:hint="eastAsia" w:ascii="黑体" w:hAnsi="黑体" w:eastAsia="黑体"/>
          <w:sz w:val="24"/>
          <w:szCs w:val="24"/>
        </w:rPr>
        <w:t>一</w:t>
      </w:r>
      <w:r>
        <w:rPr>
          <w:rFonts w:ascii="黑体" w:hAnsi="黑体" w:eastAsia="黑体"/>
          <w:sz w:val="24"/>
          <w:szCs w:val="24"/>
        </w:rPr>
        <w:t>、培养目标</w:t>
      </w:r>
      <w:bookmarkEnd w:id="346"/>
      <w:bookmarkEnd w:id="347"/>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秉承“扎根西部、服务国家、区域引领、世界一流”的办学定位，护理学博士生培养目标为：以科研创新能力培养为主，坚持德智体美劳全面发展，培养造就具有强烈社会责任感的护理学研究领域德才兼备的高层次创新型人才。</w:t>
      </w:r>
      <w:r>
        <w:rPr>
          <w:rFonts w:ascii="Times New Roman" w:hAnsi="Times New Roman" w:eastAsia="宋体" w:cs="Times New Roman"/>
          <w:szCs w:val="21"/>
        </w:rPr>
        <w:t>具体要求是：</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掌握马克思主义基本原理，学习和贯彻习近平新时代中国特色社会主义思想和系列重要讲话精神，坚定道路自信、理论自信、制度自信、文化自信。热爱祖国，</w:t>
      </w:r>
      <w:r>
        <w:rPr>
          <w:rFonts w:ascii="Times New Roman" w:hAnsi="Times New Roman" w:eastAsia="宋体" w:cs="Times New Roman"/>
          <w:szCs w:val="21"/>
        </w:rPr>
        <w:t>遵纪守法</w:t>
      </w:r>
      <w:r>
        <w:rPr>
          <w:rFonts w:hint="eastAsia" w:ascii="Times New Roman" w:hAnsi="Times New Roman" w:eastAsia="宋体" w:cs="Times New Roman"/>
          <w:szCs w:val="21"/>
        </w:rPr>
        <w:t>，</w:t>
      </w:r>
      <w:r>
        <w:rPr>
          <w:rFonts w:ascii="Times New Roman" w:hAnsi="Times New Roman" w:eastAsia="宋体" w:cs="Times New Roman"/>
          <w:szCs w:val="21"/>
        </w:rPr>
        <w:t>品德</w:t>
      </w:r>
      <w:r>
        <w:rPr>
          <w:rFonts w:hint="eastAsia" w:ascii="Times New Roman" w:hAnsi="Times New Roman" w:eastAsia="宋体" w:cs="Times New Roman"/>
          <w:szCs w:val="21"/>
        </w:rPr>
        <w:t>优</w:t>
      </w:r>
      <w:r>
        <w:rPr>
          <w:rFonts w:ascii="Times New Roman" w:hAnsi="Times New Roman" w:eastAsia="宋体" w:cs="Times New Roman"/>
          <w:szCs w:val="21"/>
        </w:rPr>
        <w:t>良，治学严谨，</w:t>
      </w:r>
      <w:r>
        <w:rPr>
          <w:rFonts w:hint="eastAsia" w:ascii="Times New Roman" w:hAnsi="Times New Roman" w:eastAsia="宋体" w:cs="Times New Roman"/>
          <w:szCs w:val="21"/>
        </w:rPr>
        <w:t>学风端正，</w:t>
      </w:r>
      <w:r>
        <w:rPr>
          <w:rFonts w:ascii="Times New Roman" w:hAnsi="Times New Roman" w:eastAsia="宋体" w:cs="Times New Roman"/>
          <w:szCs w:val="21"/>
        </w:rPr>
        <w:t>有献身于</w:t>
      </w:r>
      <w:r>
        <w:rPr>
          <w:rFonts w:hint="eastAsia" w:ascii="Times New Roman" w:hAnsi="Times New Roman" w:eastAsia="宋体" w:cs="Times New Roman"/>
          <w:szCs w:val="21"/>
        </w:rPr>
        <w:t>护理学</w:t>
      </w:r>
      <w:r>
        <w:rPr>
          <w:rFonts w:ascii="Times New Roman" w:hAnsi="Times New Roman" w:eastAsia="宋体" w:cs="Times New Roman"/>
          <w:szCs w:val="21"/>
        </w:rPr>
        <w:t>科学研究的强烈事业心和创新精神</w:t>
      </w:r>
      <w:r>
        <w:rPr>
          <w:rFonts w:hint="eastAsia" w:ascii="Times New Roman" w:hAnsi="Times New Roman" w:eastAsia="宋体" w:cs="Times New Roman"/>
          <w:szCs w:val="21"/>
        </w:rPr>
        <w:t>。</w:t>
      </w:r>
      <w:r>
        <w:rPr>
          <w:rFonts w:ascii="Times New Roman" w:hAnsi="Times New Roman" w:eastAsia="宋体" w:cs="Times New Roman"/>
          <w:szCs w:val="21"/>
        </w:rPr>
        <w:t>具有健康的体魄和良好的心理素质</w:t>
      </w:r>
      <w:r>
        <w:rPr>
          <w:rFonts w:hint="eastAsia" w:ascii="Times New Roman" w:hAnsi="Times New Roman" w:eastAsia="宋体" w:cs="Times New Roman"/>
          <w:szCs w:val="21"/>
        </w:rPr>
        <w:t>，愿积极为祖国护理学事业发展贡献自己的才智</w:t>
      </w:r>
      <w:r>
        <w:rPr>
          <w:rFonts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ascii="Times New Roman" w:hAnsi="Times New Roman" w:eastAsia="宋体" w:cs="Times New Roman"/>
          <w:szCs w:val="21"/>
        </w:rPr>
        <w:t>2．具有扎实的基础理论，掌握</w:t>
      </w:r>
      <w:r>
        <w:rPr>
          <w:rFonts w:hint="eastAsia" w:ascii="Times New Roman" w:hAnsi="Times New Roman" w:eastAsia="宋体" w:cs="Times New Roman"/>
          <w:szCs w:val="21"/>
        </w:rPr>
        <w:t>本学科的</w:t>
      </w:r>
      <w:r>
        <w:rPr>
          <w:rFonts w:ascii="Times New Roman" w:hAnsi="Times New Roman" w:eastAsia="宋体" w:cs="Times New Roman"/>
          <w:szCs w:val="21"/>
        </w:rPr>
        <w:t>专业</w:t>
      </w:r>
      <w:r>
        <w:rPr>
          <w:rFonts w:hint="eastAsia" w:ascii="Times New Roman" w:hAnsi="Times New Roman" w:eastAsia="宋体" w:cs="Times New Roman"/>
          <w:szCs w:val="21"/>
        </w:rPr>
        <w:t>基本</w:t>
      </w:r>
      <w:r>
        <w:rPr>
          <w:rFonts w:ascii="Times New Roman" w:hAnsi="Times New Roman" w:eastAsia="宋体" w:cs="Times New Roman"/>
          <w:szCs w:val="21"/>
        </w:rPr>
        <w:t>知识和</w:t>
      </w:r>
      <w:r>
        <w:rPr>
          <w:rFonts w:hint="eastAsia" w:ascii="Times New Roman" w:hAnsi="Times New Roman" w:eastAsia="宋体" w:cs="Times New Roman"/>
          <w:szCs w:val="21"/>
        </w:rPr>
        <w:t>基本技能。</w:t>
      </w:r>
      <w:r>
        <w:rPr>
          <w:rFonts w:ascii="Times New Roman" w:hAnsi="Times New Roman" w:eastAsia="宋体" w:cs="Times New Roman"/>
          <w:szCs w:val="21"/>
        </w:rPr>
        <w:t>能熟练应用各种</w:t>
      </w:r>
      <w:r>
        <w:rPr>
          <w:rFonts w:hint="eastAsia" w:ascii="Times New Roman" w:hAnsi="Times New Roman" w:eastAsia="宋体" w:cs="Times New Roman"/>
          <w:szCs w:val="21"/>
        </w:rPr>
        <w:t>医学和护理学</w:t>
      </w:r>
      <w:r>
        <w:rPr>
          <w:rFonts w:ascii="Times New Roman" w:hAnsi="Times New Roman" w:eastAsia="宋体" w:cs="Times New Roman"/>
          <w:szCs w:val="21"/>
        </w:rPr>
        <w:t>数据库</w:t>
      </w:r>
      <w:r>
        <w:rPr>
          <w:rFonts w:hint="eastAsia" w:ascii="Times New Roman" w:hAnsi="Times New Roman" w:eastAsia="宋体" w:cs="Times New Roman"/>
          <w:szCs w:val="21"/>
        </w:rPr>
        <w:t>，掌握医学和护理学</w:t>
      </w:r>
      <w:r>
        <w:rPr>
          <w:rFonts w:ascii="Times New Roman" w:hAnsi="Times New Roman" w:eastAsia="宋体" w:cs="Times New Roman"/>
          <w:szCs w:val="21"/>
        </w:rPr>
        <w:t>文献检索</w:t>
      </w:r>
      <w:r>
        <w:rPr>
          <w:rFonts w:hint="eastAsia" w:ascii="Times New Roman" w:hAnsi="Times New Roman" w:eastAsia="宋体" w:cs="Times New Roman"/>
          <w:szCs w:val="21"/>
        </w:rPr>
        <w:t>和管理。</w:t>
      </w:r>
      <w:r>
        <w:rPr>
          <w:rFonts w:ascii="Times New Roman" w:hAnsi="Times New Roman" w:eastAsia="宋体" w:cs="Times New Roman"/>
          <w:szCs w:val="21"/>
        </w:rPr>
        <w:t>能熟练地阅读本专业的外文资料，具有一定的</w:t>
      </w:r>
      <w:r>
        <w:rPr>
          <w:rFonts w:hint="eastAsia" w:ascii="Times New Roman" w:hAnsi="Times New Roman" w:eastAsia="宋体" w:cs="Times New Roman"/>
          <w:szCs w:val="21"/>
        </w:rPr>
        <w:t>外</w:t>
      </w:r>
      <w:r>
        <w:rPr>
          <w:rFonts w:ascii="Times New Roman" w:hAnsi="Times New Roman" w:eastAsia="宋体" w:cs="Times New Roman"/>
          <w:szCs w:val="21"/>
        </w:rPr>
        <w:t>文写作和口语交际能力</w:t>
      </w:r>
      <w:r>
        <w:rPr>
          <w:rFonts w:hint="eastAsia" w:ascii="Times New Roman" w:hAnsi="Times New Roman" w:eastAsia="宋体" w:cs="Times New Roman"/>
          <w:szCs w:val="21"/>
        </w:rPr>
        <w:t>。</w:t>
      </w:r>
      <w:r>
        <w:rPr>
          <w:rFonts w:cs="Times New Roman" w:asciiTheme="minorEastAsia" w:hAnsiTheme="minorEastAsia"/>
          <w:szCs w:val="21"/>
        </w:rPr>
        <w:t>具有一定</w:t>
      </w:r>
      <w:r>
        <w:rPr>
          <w:rFonts w:hint="eastAsia" w:cs="Times New Roman" w:asciiTheme="minorEastAsia" w:hAnsiTheme="minorEastAsia"/>
          <w:szCs w:val="21"/>
        </w:rPr>
        <w:t>的人文社会科学</w:t>
      </w:r>
      <w:r>
        <w:rPr>
          <w:rFonts w:cs="Times New Roman" w:asciiTheme="minorEastAsia" w:hAnsiTheme="minorEastAsia"/>
          <w:szCs w:val="21"/>
        </w:rPr>
        <w:t>基本知识。</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具备主动获取知识的意识和能力，能综合运用护理学理论知识和研究手段，开展科学研究。</w:t>
      </w:r>
      <w:r>
        <w:rPr>
          <w:rFonts w:cs="Times New Roman" w:asciiTheme="minorEastAsia" w:hAnsiTheme="minorEastAsia"/>
          <w:szCs w:val="21"/>
        </w:rPr>
        <w:t>具有</w:t>
      </w:r>
      <w:r>
        <w:rPr>
          <w:rFonts w:hint="eastAsia" w:cs="Times New Roman" w:asciiTheme="minorEastAsia" w:hAnsiTheme="minorEastAsia"/>
          <w:szCs w:val="21"/>
        </w:rPr>
        <w:t>科学</w:t>
      </w:r>
      <w:r>
        <w:rPr>
          <w:rFonts w:cs="Times New Roman" w:asciiTheme="minorEastAsia" w:hAnsiTheme="minorEastAsia"/>
          <w:szCs w:val="21"/>
        </w:rPr>
        <w:t>逻辑思维</w:t>
      </w:r>
      <w:r>
        <w:rPr>
          <w:rFonts w:hint="eastAsia" w:cs="Times New Roman" w:asciiTheme="minorEastAsia" w:hAnsiTheme="minorEastAsia"/>
          <w:szCs w:val="21"/>
        </w:rPr>
        <w:t>、批判思维和较高</w:t>
      </w:r>
      <w:r>
        <w:rPr>
          <w:rFonts w:cs="Times New Roman" w:asciiTheme="minorEastAsia" w:hAnsiTheme="minorEastAsia"/>
          <w:szCs w:val="21"/>
        </w:rPr>
        <w:t>的创新能力，</w:t>
      </w:r>
      <w:r>
        <w:rPr>
          <w:rFonts w:hint="eastAsia" w:ascii="Times New Roman" w:hAnsi="Times New Roman" w:eastAsia="宋体" w:cs="Times New Roman"/>
          <w:szCs w:val="21"/>
        </w:rPr>
        <w:t>能够独立从事护理学及相关领域科学研究工作。具有较强的语言交流和文字表达能力。</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4</w:t>
      </w:r>
      <w:r>
        <w:rPr>
          <w:rFonts w:ascii="Times New Roman" w:hAnsi="Times New Roman" w:eastAsia="宋体" w:cs="Times New Roman"/>
          <w:szCs w:val="21"/>
        </w:rPr>
        <w:t xml:space="preserve">. </w:t>
      </w:r>
      <w:r>
        <w:rPr>
          <w:rFonts w:hint="eastAsia" w:ascii="Times New Roman" w:hAnsi="Times New Roman" w:eastAsia="宋体" w:cs="Times New Roman"/>
          <w:szCs w:val="21"/>
        </w:rPr>
        <w:t>具有强烈的社会责任感和良好的团队合作精神。能够运用其他学科的前沿知识和先进技术，开展临床护理交叉融合性的科学研究。具有较强管理沟通和教学能力，能够有效利用各种资源提高工作效率。</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80" w:firstLineChars="200"/>
        <w:textAlignment w:val="auto"/>
        <w:rPr>
          <w:rFonts w:ascii="黑体" w:hAnsi="黑体" w:eastAsia="黑体"/>
          <w:sz w:val="24"/>
          <w:szCs w:val="24"/>
        </w:rPr>
      </w:pPr>
      <w:bookmarkStart w:id="348" w:name="_Toc520822640"/>
      <w:bookmarkStart w:id="349" w:name="_Toc519846420"/>
      <w:r>
        <w:rPr>
          <w:rFonts w:hint="eastAsia" w:ascii="黑体" w:hAnsi="黑体" w:eastAsia="黑体"/>
          <w:sz w:val="24"/>
          <w:szCs w:val="24"/>
        </w:rPr>
        <w:t>二</w:t>
      </w:r>
      <w:r>
        <w:rPr>
          <w:rFonts w:ascii="黑体" w:hAnsi="黑体" w:eastAsia="黑体"/>
          <w:sz w:val="24"/>
          <w:szCs w:val="24"/>
        </w:rPr>
        <w:t>、研究方向</w:t>
      </w:r>
      <w:bookmarkEnd w:id="348"/>
      <w:bookmarkEnd w:id="349"/>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宋体" w:hAnsi="Courier New" w:eastAsia="宋体" w:cs="Times New Roman"/>
          <w:szCs w:val="21"/>
        </w:rPr>
      </w:pPr>
      <w:r>
        <w:rPr>
          <w:rFonts w:hint="eastAsia" w:ascii="宋体" w:hAnsi="Courier New" w:eastAsia="宋体" w:cs="Times New Roman"/>
          <w:szCs w:val="21"/>
        </w:rPr>
        <w:t>1．精神心理护理；</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宋体" w:hAnsi="Courier New" w:eastAsia="宋体" w:cs="Times New Roman"/>
          <w:szCs w:val="21"/>
        </w:rPr>
      </w:pPr>
      <w:r>
        <w:rPr>
          <w:rFonts w:ascii="宋体" w:hAnsi="Courier New" w:eastAsia="宋体" w:cs="Times New Roman"/>
          <w:szCs w:val="21"/>
        </w:rPr>
        <w:t>2</w:t>
      </w:r>
      <w:r>
        <w:rPr>
          <w:rFonts w:hint="eastAsia" w:ascii="宋体" w:hAnsi="Courier New" w:eastAsia="宋体" w:cs="Times New Roman"/>
          <w:szCs w:val="21"/>
        </w:rPr>
        <w:t>．护理教育与管理；</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宋体" w:hAnsi="Courier New" w:eastAsia="宋体" w:cs="Times New Roman"/>
          <w:szCs w:val="21"/>
        </w:rPr>
      </w:pPr>
      <w:r>
        <w:rPr>
          <w:rFonts w:ascii="宋体" w:hAnsi="Courier New" w:eastAsia="宋体" w:cs="Times New Roman"/>
          <w:szCs w:val="21"/>
        </w:rPr>
        <w:t>3</w:t>
      </w:r>
      <w:r>
        <w:rPr>
          <w:rFonts w:hint="eastAsia" w:ascii="宋体" w:hAnsi="Courier New" w:eastAsia="宋体" w:cs="Times New Roman"/>
          <w:szCs w:val="21"/>
        </w:rPr>
        <w:t>．妇儿护理；</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宋体" w:hAnsi="Courier New" w:eastAsia="宋体" w:cs="Times New Roman"/>
          <w:szCs w:val="21"/>
        </w:rPr>
      </w:pPr>
      <w:r>
        <w:rPr>
          <w:rFonts w:ascii="宋体" w:hAnsi="Courier New" w:eastAsia="宋体" w:cs="Times New Roman"/>
          <w:szCs w:val="21"/>
        </w:rPr>
        <w:t>4</w:t>
      </w:r>
      <w:r>
        <w:rPr>
          <w:rFonts w:hint="eastAsia" w:ascii="宋体" w:hAnsi="Courier New" w:eastAsia="宋体" w:cs="Times New Roman"/>
          <w:szCs w:val="21"/>
        </w:rPr>
        <w:t>．老年与慢性病护理；</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宋体" w:hAnsi="Courier New" w:eastAsia="宋体" w:cs="Times New Roman"/>
          <w:szCs w:val="21"/>
        </w:rPr>
      </w:pPr>
      <w:r>
        <w:rPr>
          <w:rFonts w:hint="eastAsia" w:ascii="宋体" w:hAnsi="Courier New" w:eastAsia="宋体" w:cs="Times New Roman"/>
          <w:szCs w:val="21"/>
        </w:rPr>
        <w:t>5．智慧护理（护理+人工智能+大数据）。</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80" w:firstLineChars="200"/>
        <w:textAlignment w:val="auto"/>
        <w:rPr>
          <w:rFonts w:ascii="黑体" w:hAnsi="黑体" w:eastAsia="黑体"/>
          <w:sz w:val="24"/>
          <w:szCs w:val="24"/>
        </w:rPr>
      </w:pPr>
      <w:bookmarkStart w:id="350" w:name="_Toc519846421"/>
      <w:bookmarkStart w:id="351" w:name="_Toc520822641"/>
      <w:r>
        <w:rPr>
          <w:rFonts w:hint="eastAsia" w:ascii="黑体" w:hAnsi="黑体" w:eastAsia="黑体"/>
          <w:sz w:val="24"/>
          <w:szCs w:val="24"/>
        </w:rPr>
        <w:t>三</w:t>
      </w:r>
      <w:r>
        <w:rPr>
          <w:rFonts w:ascii="黑体" w:hAnsi="黑体" w:eastAsia="黑体"/>
          <w:sz w:val="24"/>
          <w:szCs w:val="24"/>
        </w:rPr>
        <w:t>、学习年限</w:t>
      </w:r>
      <w:bookmarkEnd w:id="350"/>
      <w:bookmarkEnd w:id="351"/>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本专业博士生的学习年限一般为3-5年，第一学年学习专业基础理论，掌握进行科研所必需的基本技能并写出文献综述。从第二年开始，在导师指导下进入课题研究和学位论文准备阶段。从事课题研究工作（开题、实验设计、实验操作、数据处理、结果分析总结、论文撰写等）的时间不得少于2年。</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80" w:firstLineChars="200"/>
        <w:textAlignment w:val="auto"/>
        <w:rPr>
          <w:rFonts w:ascii="黑体" w:hAnsi="黑体" w:eastAsia="黑体"/>
          <w:sz w:val="24"/>
          <w:szCs w:val="24"/>
        </w:rPr>
      </w:pPr>
      <w:bookmarkStart w:id="352" w:name="_Toc519846422"/>
      <w:bookmarkStart w:id="353" w:name="_Toc520822642"/>
      <w:r>
        <w:rPr>
          <w:rFonts w:hint="eastAsia" w:ascii="黑体" w:hAnsi="黑体" w:eastAsia="黑体"/>
          <w:sz w:val="24"/>
          <w:szCs w:val="24"/>
        </w:rPr>
        <w:t>四</w:t>
      </w:r>
      <w:r>
        <w:rPr>
          <w:rFonts w:ascii="黑体" w:hAnsi="黑体" w:eastAsia="黑体"/>
          <w:sz w:val="24"/>
          <w:szCs w:val="24"/>
        </w:rPr>
        <w:t>、培养方式</w:t>
      </w:r>
      <w:bookmarkEnd w:id="352"/>
      <w:bookmarkEnd w:id="353"/>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bookmarkStart w:id="354" w:name="_Toc519846423"/>
      <w:bookmarkStart w:id="355" w:name="_Toc520822643"/>
      <w:r>
        <w:rPr>
          <w:rFonts w:ascii="Times New Roman" w:hAnsi="Times New Roman" w:cs="Times New Roman"/>
          <w:szCs w:val="21"/>
        </w:rPr>
        <w:t>1</w:t>
      </w:r>
      <w:r>
        <w:rPr>
          <w:rFonts w:ascii="Times New Roman" w:hAnsi="Times New Roman" w:eastAsia="宋体" w:cs="Times New Roman"/>
          <w:szCs w:val="21"/>
        </w:rPr>
        <w:t>．</w:t>
      </w:r>
      <w:r>
        <w:rPr>
          <w:rFonts w:cs="Times New Roman" w:asciiTheme="minorEastAsia" w:hAnsiTheme="minorEastAsia"/>
          <w:szCs w:val="21"/>
        </w:rPr>
        <w:t>导师小组联合指导，导师负责制。各系、中心应成立以博士生导师为</w:t>
      </w:r>
      <w:r>
        <w:rPr>
          <w:rFonts w:ascii="Times New Roman" w:hAnsi="Times New Roman" w:cs="Times New Roman"/>
          <w:szCs w:val="21"/>
        </w:rPr>
        <w:t>主5</w:t>
      </w:r>
      <w:r>
        <w:rPr>
          <w:rFonts w:cs="Times New Roman" w:asciiTheme="minorEastAsia" w:hAnsiTheme="minorEastAsia"/>
          <w:szCs w:val="21"/>
        </w:rPr>
        <w:t>人指导小组及课题小组的有关成员，共同协助搞好</w:t>
      </w:r>
      <w:r>
        <w:rPr>
          <w:rFonts w:hint="eastAsia" w:cs="Times New Roman" w:asciiTheme="minorEastAsia" w:hAnsiTheme="minorEastAsia"/>
          <w:szCs w:val="21"/>
        </w:rPr>
        <w:t>博士</w:t>
      </w:r>
      <w:r>
        <w:rPr>
          <w:rFonts w:cs="Times New Roman" w:asciiTheme="minorEastAsia" w:hAnsiTheme="minorEastAsia"/>
          <w:szCs w:val="21"/>
        </w:rPr>
        <w:t>研究生的培养工作。</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2</w:t>
      </w:r>
      <w:r>
        <w:rPr>
          <w:rFonts w:ascii="Times New Roman" w:hAnsi="Times New Roman" w:eastAsia="宋体" w:cs="Times New Roman"/>
          <w:szCs w:val="21"/>
        </w:rPr>
        <w:t>．</w:t>
      </w:r>
      <w:r>
        <w:rPr>
          <w:rFonts w:cs="Times New Roman" w:asciiTheme="minorEastAsia" w:hAnsiTheme="minorEastAsia"/>
          <w:szCs w:val="21"/>
        </w:rPr>
        <w:t>课程学习要满足需要的学分；课程包括本专业的基础和前沿课程和开展自己研究工作的必要知识和技术，可采用上课、学术报告、国际交流、讨论等方式。</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3</w:t>
      </w:r>
      <w:r>
        <w:rPr>
          <w:rFonts w:ascii="Times New Roman" w:hAnsi="Times New Roman" w:eastAsia="宋体" w:cs="Times New Roman"/>
          <w:szCs w:val="21"/>
        </w:rPr>
        <w:t>．</w:t>
      </w:r>
      <w:r>
        <w:rPr>
          <w:rFonts w:cs="Times New Roman" w:asciiTheme="minorEastAsia" w:hAnsiTheme="minorEastAsia"/>
          <w:szCs w:val="21"/>
        </w:rPr>
        <w:t>积极鼓励学生参加会议、讲座等，展丰富多彩的科研活动，营造浓郁的科研氛围，提升学生的科研兴趣，增强学生解决重大科学问题的动力。</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4</w:t>
      </w:r>
      <w:r>
        <w:rPr>
          <w:rFonts w:ascii="Times New Roman" w:hAnsi="Times New Roman" w:eastAsia="宋体" w:cs="Times New Roman"/>
          <w:szCs w:val="21"/>
        </w:rPr>
        <w:t>．</w:t>
      </w:r>
      <w:r>
        <w:rPr>
          <w:rFonts w:cs="Times New Roman" w:asciiTheme="minorEastAsia" w:hAnsiTheme="minorEastAsia"/>
          <w:szCs w:val="21"/>
        </w:rPr>
        <w:t>通过课题组、院系的科研汇报会、文献阅读会、小组讨论会，个别指导等形式，逐步强化学生的科研创新能力。</w:t>
      </w:r>
    </w:p>
    <w:p>
      <w:pPr>
        <w:keepNext w:val="0"/>
        <w:keepLines w:val="0"/>
        <w:pageBreakBefore w:val="0"/>
        <w:widowControl w:val="0"/>
        <w:tabs>
          <w:tab w:val="left" w:pos="3900"/>
        </w:tabs>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5</w:t>
      </w:r>
      <w:r>
        <w:rPr>
          <w:rFonts w:ascii="Times New Roman" w:hAnsi="Times New Roman" w:eastAsia="宋体" w:cs="Times New Roman"/>
          <w:szCs w:val="21"/>
        </w:rPr>
        <w:t>．</w:t>
      </w:r>
      <w:r>
        <w:rPr>
          <w:rFonts w:cs="Times New Roman" w:asciiTheme="minorEastAsia" w:hAnsiTheme="minorEastAsia"/>
          <w:szCs w:val="21"/>
        </w:rPr>
        <w:t>加强培养期间的过程管理，第一学年学习专业基础理论，掌握进行科研所必需的基本技能并写出文献综述。从第二年开始在导师指导下进入课题研究和学位论文准备阶段。</w:t>
      </w:r>
      <w:r>
        <w:rPr>
          <w:rFonts w:hint="eastAsia" w:cs="Times New Roman" w:asciiTheme="minorEastAsia" w:hAnsiTheme="minorEastAsia"/>
          <w:szCs w:val="21"/>
        </w:rPr>
        <w:t>博士生</w:t>
      </w:r>
      <w:r>
        <w:rPr>
          <w:rFonts w:cs="Times New Roman" w:asciiTheme="minorEastAsia" w:hAnsiTheme="minorEastAsia"/>
          <w:szCs w:val="21"/>
        </w:rPr>
        <w:t>应在第第四学年末完成博士中期考核。</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80" w:firstLineChars="200"/>
        <w:textAlignment w:val="auto"/>
        <w:rPr>
          <w:rFonts w:ascii="黑体" w:hAnsi="黑体" w:eastAsia="黑体"/>
          <w:sz w:val="24"/>
          <w:szCs w:val="24"/>
        </w:rPr>
      </w:pPr>
      <w:r>
        <w:rPr>
          <w:rFonts w:ascii="黑体" w:hAnsi="黑体" w:eastAsia="黑体"/>
          <w:sz w:val="24"/>
          <w:szCs w:val="24"/>
        </w:rPr>
        <w:t>五、课程设置及学分要求</w:t>
      </w:r>
      <w:bookmarkEnd w:id="354"/>
      <w:bookmarkEnd w:id="355"/>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本学科学术型培养方案共需修满</w:t>
      </w:r>
      <w:r>
        <w:rPr>
          <w:rFonts w:cs="Times New Roman" w:asciiTheme="minorEastAsia" w:hAnsiTheme="minorEastAsia"/>
          <w:szCs w:val="21"/>
        </w:rPr>
        <w:t>27</w:t>
      </w:r>
      <w:r>
        <w:rPr>
          <w:rFonts w:hint="eastAsia" w:cs="Times New Roman" w:asciiTheme="minorEastAsia" w:hAnsiTheme="minorEastAsia"/>
          <w:szCs w:val="21"/>
        </w:rPr>
        <w:t>学分，其中课程学习</w:t>
      </w:r>
      <w:r>
        <w:rPr>
          <w:rFonts w:cs="Times New Roman" w:asciiTheme="minorEastAsia" w:hAnsiTheme="minorEastAsia"/>
          <w:szCs w:val="21"/>
        </w:rPr>
        <w:t>10</w:t>
      </w:r>
      <w:r>
        <w:rPr>
          <w:rFonts w:hint="eastAsia" w:cs="Times New Roman" w:asciiTheme="minorEastAsia" w:hAnsiTheme="minorEastAsia"/>
          <w:szCs w:val="21"/>
        </w:rPr>
        <w:t>学分，必修环节</w:t>
      </w:r>
      <w:r>
        <w:rPr>
          <w:rFonts w:cs="Times New Roman" w:asciiTheme="minorEastAsia" w:hAnsiTheme="minorEastAsia"/>
          <w:szCs w:val="21"/>
        </w:rPr>
        <w:t>17学分</w:t>
      </w:r>
      <w:r>
        <w:rPr>
          <w:rFonts w:hint="eastAsia" w:cs="Times New Roman" w:asciiTheme="minorEastAsia" w:hAnsiTheme="minorEastAsia"/>
          <w:szCs w:val="21"/>
        </w:rPr>
        <w:t>。</w:t>
      </w:r>
      <w:r>
        <w:rPr>
          <w:rFonts w:cs="Times New Roman" w:asciiTheme="minorEastAsia" w:hAnsiTheme="minorEastAsia"/>
          <w:szCs w:val="21"/>
        </w:rPr>
        <w:t>课程学习包括：学位课6学分，选修课4学分。</w:t>
      </w:r>
    </w:p>
    <w:tbl>
      <w:tblPr>
        <w:tblStyle w:val="37"/>
        <w:tblW w:w="46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533"/>
        <w:gridCol w:w="1015"/>
        <w:gridCol w:w="1370"/>
        <w:gridCol w:w="2637"/>
        <w:gridCol w:w="613"/>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7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ascii="Times New Roman" w:hAnsi="Times New Roman" w:eastAsia="宋体" w:cs="Times New Roman"/>
                <w:b/>
                <w:szCs w:val="21"/>
              </w:rPr>
            </w:pPr>
            <w:r>
              <w:rPr>
                <w:rFonts w:ascii="Times New Roman" w:hAnsi="Times New Roman" w:eastAsia="宋体" w:cs="Times New Roman"/>
                <w:b/>
                <w:szCs w:val="21"/>
              </w:rPr>
              <w:t>课程性质</w:t>
            </w:r>
          </w:p>
        </w:tc>
        <w:tc>
          <w:tcPr>
            <w:tcW w:w="3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ascii="Times New Roman" w:hAnsi="Times New Roman" w:eastAsia="宋体" w:cs="Times New Roman"/>
                <w:b/>
                <w:szCs w:val="21"/>
              </w:rPr>
            </w:pPr>
            <w:r>
              <w:rPr>
                <w:rFonts w:ascii="Times New Roman" w:hAnsi="Times New Roman" w:eastAsia="宋体" w:cs="Times New Roman"/>
                <w:b/>
                <w:szCs w:val="21"/>
              </w:rPr>
              <w:t>序号</w:t>
            </w:r>
          </w:p>
        </w:tc>
        <w:tc>
          <w:tcPr>
            <w:tcW w:w="5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ascii="Times New Roman" w:hAnsi="Times New Roman" w:eastAsia="宋体" w:cs="Times New Roman"/>
                <w:b/>
                <w:szCs w:val="21"/>
              </w:rPr>
            </w:pPr>
            <w:r>
              <w:rPr>
                <w:rFonts w:ascii="Times New Roman" w:hAnsi="Times New Roman" w:eastAsia="宋体" w:cs="Times New Roman"/>
                <w:b/>
                <w:szCs w:val="21"/>
              </w:rPr>
              <w:t>课程编号</w:t>
            </w:r>
          </w:p>
        </w:tc>
        <w:tc>
          <w:tcPr>
            <w:tcW w:w="8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ascii="Times New Roman" w:hAnsi="Times New Roman" w:eastAsia="宋体" w:cs="Times New Roman"/>
                <w:b/>
                <w:szCs w:val="21"/>
              </w:rPr>
            </w:pPr>
            <w:r>
              <w:rPr>
                <w:rFonts w:hint="eastAsia" w:ascii="Times New Roman" w:hAnsi="Times New Roman" w:eastAsia="宋体" w:cs="Times New Roman"/>
                <w:b/>
                <w:szCs w:val="21"/>
              </w:rPr>
              <w:t>统一编码</w:t>
            </w:r>
          </w:p>
        </w:tc>
        <w:tc>
          <w:tcPr>
            <w:tcW w:w="15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ascii="Times New Roman" w:hAnsi="Times New Roman" w:eastAsia="宋体" w:cs="Times New Roman"/>
                <w:b/>
                <w:szCs w:val="21"/>
              </w:rPr>
            </w:pPr>
            <w:r>
              <w:rPr>
                <w:rFonts w:ascii="Times New Roman" w:hAnsi="Times New Roman" w:eastAsia="宋体" w:cs="Times New Roman"/>
                <w:b/>
                <w:szCs w:val="21"/>
              </w:rPr>
              <w:t>课程名称</w:t>
            </w: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ascii="Times New Roman" w:hAnsi="Times New Roman" w:eastAsia="宋体" w:cs="Times New Roman"/>
                <w:b/>
                <w:szCs w:val="21"/>
              </w:rPr>
            </w:pPr>
            <w:r>
              <w:rPr>
                <w:rFonts w:ascii="Times New Roman" w:hAnsi="Times New Roman" w:eastAsia="宋体" w:cs="Times New Roman"/>
                <w:b/>
                <w:szCs w:val="21"/>
              </w:rPr>
              <w:t>学分</w:t>
            </w:r>
          </w:p>
        </w:tc>
        <w:tc>
          <w:tcPr>
            <w:tcW w:w="6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ascii="Times New Roman" w:hAnsi="Times New Roman" w:eastAsia="宋体" w:cs="Times New Roman"/>
                <w:b/>
                <w:szCs w:val="21"/>
              </w:rPr>
            </w:pPr>
            <w:r>
              <w:rPr>
                <w:rFonts w:ascii="Times New Roman" w:hAnsi="Times New Roman" w:eastAsia="宋体" w:cs="Times New Roman"/>
                <w:b/>
                <w:szCs w:val="21"/>
              </w:rPr>
              <w:t>应修学分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公共学位课</w:t>
            </w:r>
          </w:p>
        </w:tc>
        <w:tc>
          <w:tcPr>
            <w:tcW w:w="314"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598"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141006</w:t>
            </w:r>
          </w:p>
        </w:tc>
        <w:tc>
          <w:tcPr>
            <w:tcW w:w="807"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MLMD600114</w:t>
            </w:r>
          </w:p>
        </w:tc>
        <w:tc>
          <w:tcPr>
            <w:tcW w:w="1553"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s="Times New Roman"/>
                <w:szCs w:val="21"/>
              </w:rPr>
            </w:pPr>
            <w:r>
              <w:rPr>
                <w:rFonts w:ascii="Times New Roman" w:hAnsi="Times New Roman" w:eastAsia="宋体" w:cs="Times New Roman"/>
                <w:szCs w:val="21"/>
              </w:rPr>
              <w:t>中国马克思主义与当代</w:t>
            </w:r>
          </w:p>
        </w:tc>
        <w:tc>
          <w:tcPr>
            <w:tcW w:w="361"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6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2学分</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5"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学科</w:t>
            </w:r>
            <w:r>
              <w:rPr>
                <w:rFonts w:ascii="Times New Roman" w:hAnsi="Times New Roman" w:eastAsia="宋体" w:cs="Times New Roman"/>
                <w:szCs w:val="21"/>
              </w:rPr>
              <w:t>学位课</w:t>
            </w:r>
          </w:p>
        </w:tc>
        <w:tc>
          <w:tcPr>
            <w:tcW w:w="314"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598"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152078</w:t>
            </w:r>
          </w:p>
        </w:tc>
        <w:tc>
          <w:tcPr>
            <w:tcW w:w="807"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BASM611815</w:t>
            </w:r>
          </w:p>
        </w:tc>
        <w:tc>
          <w:tcPr>
            <w:tcW w:w="1553"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s="Times New Roman"/>
                <w:szCs w:val="21"/>
              </w:rPr>
            </w:pPr>
            <w:r>
              <w:rPr>
                <w:rFonts w:ascii="Times New Roman" w:hAnsi="Times New Roman" w:eastAsia="宋体" w:cs="Times New Roman"/>
                <w:szCs w:val="21"/>
              </w:rPr>
              <w:t>诺贝尔奖论文剖析</w:t>
            </w:r>
          </w:p>
        </w:tc>
        <w:tc>
          <w:tcPr>
            <w:tcW w:w="361"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629"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2学分</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5" w:type="pct"/>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c>
          <w:tcPr>
            <w:tcW w:w="314" w:type="pct"/>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152107</w:t>
            </w:r>
          </w:p>
        </w:tc>
        <w:tc>
          <w:tcPr>
            <w:tcW w:w="8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NURS710115</w:t>
            </w:r>
          </w:p>
        </w:tc>
        <w:tc>
          <w:tcPr>
            <w:tcW w:w="15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s="Times New Roman"/>
                <w:szCs w:val="21"/>
              </w:rPr>
            </w:pPr>
            <w:r>
              <w:rPr>
                <w:rFonts w:ascii="Times New Roman" w:hAnsi="Times New Roman" w:eastAsia="宋体" w:cs="Times New Roman"/>
                <w:szCs w:val="21"/>
              </w:rPr>
              <w:t>护理学(2)</w:t>
            </w: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629" w:type="pct"/>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学科</w:t>
            </w:r>
            <w:r>
              <w:rPr>
                <w:rFonts w:ascii="Times New Roman" w:hAnsi="Times New Roman" w:eastAsia="宋体" w:cs="Times New Roman"/>
                <w:szCs w:val="21"/>
              </w:rPr>
              <w:t>选修课</w:t>
            </w:r>
          </w:p>
        </w:tc>
        <w:tc>
          <w:tcPr>
            <w:tcW w:w="3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1</w:t>
            </w:r>
          </w:p>
        </w:tc>
        <w:tc>
          <w:tcPr>
            <w:tcW w:w="5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hint="eastAsia" w:ascii="宋体" w:hAnsi="宋体" w:eastAsia="宋体" w:cs="Times New Roman"/>
                <w:szCs w:val="21"/>
              </w:rPr>
              <w:t>/</w:t>
            </w:r>
          </w:p>
        </w:tc>
        <w:tc>
          <w:tcPr>
            <w:tcW w:w="8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hint="eastAsia" w:ascii="宋体" w:hAnsi="宋体" w:eastAsia="宋体" w:cs="Times New Roman"/>
                <w:szCs w:val="21"/>
              </w:rPr>
              <w:t>/</w:t>
            </w:r>
          </w:p>
        </w:tc>
        <w:tc>
          <w:tcPr>
            <w:tcW w:w="15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s="Times New Roman"/>
                <w:szCs w:val="21"/>
              </w:rPr>
            </w:pPr>
            <w:r>
              <w:rPr>
                <w:rFonts w:ascii="Times New Roman" w:hAnsi="Times New Roman" w:eastAsia="宋体" w:cs="Times New Roman"/>
                <w:szCs w:val="21"/>
              </w:rPr>
              <w:t>研究生课程目录上选修</w:t>
            </w: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≥3</w:t>
            </w:r>
          </w:p>
        </w:tc>
        <w:tc>
          <w:tcPr>
            <w:tcW w:w="6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其他</w:t>
            </w:r>
            <w:r>
              <w:rPr>
                <w:rFonts w:ascii="Times New Roman" w:hAnsi="Times New Roman" w:eastAsia="宋体" w:cs="Times New Roman"/>
                <w:szCs w:val="21"/>
              </w:rPr>
              <w:t>选修课</w:t>
            </w:r>
          </w:p>
        </w:tc>
        <w:tc>
          <w:tcPr>
            <w:tcW w:w="31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hint="eastAsia" w:ascii="宋体" w:hAnsi="宋体" w:eastAsia="宋体" w:cs="Times New Roman"/>
                <w:szCs w:val="21"/>
              </w:rPr>
              <w:t>153044</w:t>
            </w:r>
          </w:p>
        </w:tc>
        <w:tc>
          <w:tcPr>
            <w:tcW w:w="8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BASM612615</w:t>
            </w:r>
          </w:p>
        </w:tc>
        <w:tc>
          <w:tcPr>
            <w:tcW w:w="15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研究生</w:t>
            </w:r>
            <w:r>
              <w:rPr>
                <w:rFonts w:ascii="Times New Roman" w:hAnsi="Times New Roman" w:eastAsia="宋体" w:cs="Times New Roman"/>
                <w:szCs w:val="21"/>
              </w:rPr>
              <w:t>论文写作</w:t>
            </w:r>
            <w:r>
              <w:rPr>
                <w:rFonts w:hint="eastAsia" w:ascii="Times New Roman" w:hAnsi="Times New Roman" w:eastAsia="宋体" w:cs="Times New Roman"/>
                <w:szCs w:val="21"/>
              </w:rPr>
              <w:t>指导（15）</w:t>
            </w: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w:t>
            </w:r>
          </w:p>
        </w:tc>
        <w:tc>
          <w:tcPr>
            <w:tcW w:w="6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1学分</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5"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必修环节</w:t>
            </w:r>
          </w:p>
        </w:tc>
        <w:tc>
          <w:tcPr>
            <w:tcW w:w="314"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598"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001999</w:t>
            </w:r>
          </w:p>
        </w:tc>
        <w:tc>
          <w:tcPr>
            <w:tcW w:w="807"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BXHJ8003</w:t>
            </w:r>
            <w:r>
              <w:rPr>
                <w:rFonts w:hint="eastAsia" w:cs="Times New Roman" w:asciiTheme="minorEastAsia" w:hAnsiTheme="minorEastAsia"/>
                <w:szCs w:val="21"/>
              </w:rPr>
              <w:t>99</w:t>
            </w:r>
          </w:p>
        </w:tc>
        <w:tc>
          <w:tcPr>
            <w:tcW w:w="15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学术活动（讲座）</w:t>
            </w:r>
            <w:r>
              <w:rPr>
                <w:rFonts w:hint="eastAsia" w:ascii="Times New Roman" w:hAnsi="Times New Roman" w:cs="Times New Roman"/>
                <w:szCs w:val="21"/>
              </w:rPr>
              <w:t>博</w:t>
            </w: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629"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ascii="Times New Roman" w:hAnsi="Times New Roman" w:eastAsia="宋体" w:cs="Times New Roman"/>
                <w:szCs w:val="21"/>
              </w:rPr>
              <w:t>17</w:t>
            </w:r>
            <w:r>
              <w:rPr>
                <w:rFonts w:hint="eastAsia" w:ascii="Times New Roman" w:hAnsi="Times New Roman" w:eastAsia="宋体" w:cs="Times New Roman"/>
                <w:szCs w:val="21"/>
              </w:rPr>
              <w:t>学分</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c>
          <w:tcPr>
            <w:tcW w:w="314"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98"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001987</w:t>
            </w:r>
          </w:p>
        </w:tc>
        <w:tc>
          <w:tcPr>
            <w:tcW w:w="807"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BXHJ6006</w:t>
            </w:r>
            <w:r>
              <w:rPr>
                <w:rFonts w:hint="eastAsia" w:cs="Times New Roman" w:asciiTheme="minorEastAsia" w:hAnsiTheme="minorEastAsia"/>
                <w:szCs w:val="21"/>
              </w:rPr>
              <w:t>99</w:t>
            </w:r>
          </w:p>
        </w:tc>
        <w:tc>
          <w:tcPr>
            <w:tcW w:w="15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社会实践</w:t>
            </w: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629"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c>
          <w:tcPr>
            <w:tcW w:w="314"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3</w:t>
            </w:r>
          </w:p>
        </w:tc>
        <w:tc>
          <w:tcPr>
            <w:tcW w:w="598"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001972</w:t>
            </w:r>
          </w:p>
        </w:tc>
        <w:tc>
          <w:tcPr>
            <w:tcW w:w="807"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BXHJ8007</w:t>
            </w:r>
            <w:r>
              <w:rPr>
                <w:rFonts w:hint="eastAsia" w:cs="Times New Roman" w:asciiTheme="minorEastAsia" w:hAnsiTheme="minorEastAsia"/>
                <w:szCs w:val="21"/>
              </w:rPr>
              <w:t>99</w:t>
            </w:r>
          </w:p>
        </w:tc>
        <w:tc>
          <w:tcPr>
            <w:tcW w:w="15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两助一辅</w:t>
            </w: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629"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c>
          <w:tcPr>
            <w:tcW w:w="314"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4</w:t>
            </w:r>
          </w:p>
        </w:tc>
        <w:tc>
          <w:tcPr>
            <w:tcW w:w="598"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001995</w:t>
            </w:r>
          </w:p>
        </w:tc>
        <w:tc>
          <w:tcPr>
            <w:tcW w:w="807"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BXHJ8002</w:t>
            </w:r>
            <w:r>
              <w:rPr>
                <w:rFonts w:hint="eastAsia" w:cs="Times New Roman" w:asciiTheme="minorEastAsia" w:hAnsiTheme="minorEastAsia"/>
                <w:szCs w:val="21"/>
              </w:rPr>
              <w:t>99</w:t>
            </w:r>
          </w:p>
        </w:tc>
        <w:tc>
          <w:tcPr>
            <w:tcW w:w="15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基金撰写</w:t>
            </w: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629"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c>
          <w:tcPr>
            <w:tcW w:w="314"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5</w:t>
            </w:r>
          </w:p>
        </w:tc>
        <w:tc>
          <w:tcPr>
            <w:tcW w:w="598"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001970</w:t>
            </w:r>
          </w:p>
        </w:tc>
        <w:tc>
          <w:tcPr>
            <w:tcW w:w="807"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BXHJ8009</w:t>
            </w:r>
            <w:r>
              <w:rPr>
                <w:rFonts w:hint="eastAsia" w:cs="Times New Roman" w:asciiTheme="minorEastAsia" w:hAnsiTheme="minorEastAsia"/>
                <w:szCs w:val="21"/>
              </w:rPr>
              <w:t>99</w:t>
            </w:r>
          </w:p>
        </w:tc>
        <w:tc>
          <w:tcPr>
            <w:tcW w:w="15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国际化交流</w:t>
            </w: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629"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c>
          <w:tcPr>
            <w:tcW w:w="314"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6</w:t>
            </w:r>
          </w:p>
        </w:tc>
        <w:tc>
          <w:tcPr>
            <w:tcW w:w="5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cs="Times New Roman" w:asciiTheme="minorEastAsia" w:hAnsiTheme="minorEastAsia"/>
                <w:szCs w:val="21"/>
              </w:rPr>
              <w:t>001986</w:t>
            </w:r>
          </w:p>
        </w:tc>
        <w:tc>
          <w:tcPr>
            <w:tcW w:w="8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BXHJ8004</w:t>
            </w:r>
            <w:r>
              <w:rPr>
                <w:rFonts w:hint="eastAsia" w:cs="Times New Roman" w:asciiTheme="minorEastAsia" w:hAnsiTheme="minorEastAsia"/>
                <w:szCs w:val="21"/>
              </w:rPr>
              <w:t>99</w:t>
            </w:r>
          </w:p>
        </w:tc>
        <w:tc>
          <w:tcPr>
            <w:tcW w:w="15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开题报告</w:t>
            </w:r>
            <w:r>
              <w:rPr>
                <w:rFonts w:hint="eastAsia" w:ascii="Times New Roman" w:hAnsi="Times New Roman" w:cs="Times New Roman"/>
                <w:szCs w:val="21"/>
              </w:rPr>
              <w:t>（博）</w:t>
            </w: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629"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c>
          <w:tcPr>
            <w:tcW w:w="314"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7</w:t>
            </w:r>
          </w:p>
        </w:tc>
        <w:tc>
          <w:tcPr>
            <w:tcW w:w="5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001994</w:t>
            </w:r>
          </w:p>
        </w:tc>
        <w:tc>
          <w:tcPr>
            <w:tcW w:w="8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BXHJ8001</w:t>
            </w:r>
            <w:r>
              <w:rPr>
                <w:rFonts w:hint="eastAsia" w:cs="Times New Roman" w:asciiTheme="minorEastAsia" w:hAnsiTheme="minorEastAsia"/>
                <w:szCs w:val="21"/>
              </w:rPr>
              <w:t>99</w:t>
            </w:r>
          </w:p>
        </w:tc>
        <w:tc>
          <w:tcPr>
            <w:tcW w:w="15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中期考核</w:t>
            </w:r>
            <w:r>
              <w:rPr>
                <w:rFonts w:hint="eastAsia" w:ascii="Times New Roman" w:hAnsi="Times New Roman" w:cs="Times New Roman"/>
                <w:szCs w:val="21"/>
              </w:rPr>
              <w:t>（博）</w:t>
            </w: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6</w:t>
            </w:r>
          </w:p>
        </w:tc>
        <w:tc>
          <w:tcPr>
            <w:tcW w:w="629"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c>
          <w:tcPr>
            <w:tcW w:w="314"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8</w:t>
            </w:r>
          </w:p>
        </w:tc>
        <w:tc>
          <w:tcPr>
            <w:tcW w:w="5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001971</w:t>
            </w:r>
          </w:p>
        </w:tc>
        <w:tc>
          <w:tcPr>
            <w:tcW w:w="80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INFT600499</w:t>
            </w:r>
          </w:p>
        </w:tc>
        <w:tc>
          <w:tcPr>
            <w:tcW w:w="15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文献阅读</w:t>
            </w: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629"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c>
          <w:tcPr>
            <w:tcW w:w="314"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9</w:t>
            </w:r>
          </w:p>
        </w:tc>
        <w:tc>
          <w:tcPr>
            <w:tcW w:w="598"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001954</w:t>
            </w:r>
          </w:p>
        </w:tc>
        <w:tc>
          <w:tcPr>
            <w:tcW w:w="807"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B</w:t>
            </w:r>
            <w:r>
              <w:rPr>
                <w:rFonts w:cs="Times New Roman" w:asciiTheme="minorEastAsia" w:hAnsiTheme="minorEastAsia"/>
                <w:szCs w:val="21"/>
              </w:rPr>
              <w:t>XHJ602499</w:t>
            </w:r>
          </w:p>
        </w:tc>
        <w:tc>
          <w:tcPr>
            <w:tcW w:w="15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hint="eastAsia" w:cs="Times New Roman" w:asciiTheme="minorEastAsia" w:hAnsiTheme="minorEastAsia"/>
                <w:szCs w:val="21"/>
              </w:rPr>
              <w:t>劳动教育</w:t>
            </w: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0</w:t>
            </w:r>
          </w:p>
        </w:tc>
        <w:tc>
          <w:tcPr>
            <w:tcW w:w="629"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c>
          <w:tcPr>
            <w:tcW w:w="314"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10</w:t>
            </w:r>
          </w:p>
        </w:tc>
        <w:tc>
          <w:tcPr>
            <w:tcW w:w="598"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001955</w:t>
            </w:r>
          </w:p>
        </w:tc>
        <w:tc>
          <w:tcPr>
            <w:tcW w:w="807"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B</w:t>
            </w:r>
            <w:r>
              <w:rPr>
                <w:rFonts w:cs="Times New Roman" w:asciiTheme="minorEastAsia" w:hAnsiTheme="minorEastAsia"/>
                <w:szCs w:val="21"/>
              </w:rPr>
              <w:t>XHJ602399</w:t>
            </w:r>
          </w:p>
        </w:tc>
        <w:tc>
          <w:tcPr>
            <w:tcW w:w="15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cs="Times New Roman" w:asciiTheme="minorEastAsia" w:hAnsiTheme="minorEastAsia"/>
                <w:szCs w:val="21"/>
              </w:rPr>
            </w:pPr>
            <w:r>
              <w:rPr>
                <w:rFonts w:hint="eastAsia" w:cs="Times New Roman" w:asciiTheme="minorEastAsia" w:hAnsiTheme="minorEastAsia"/>
                <w:szCs w:val="21"/>
              </w:rPr>
              <w:t>美育</w:t>
            </w: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0</w:t>
            </w:r>
          </w:p>
        </w:tc>
        <w:tc>
          <w:tcPr>
            <w:tcW w:w="629"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5"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c>
          <w:tcPr>
            <w:tcW w:w="314"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11</w:t>
            </w:r>
          </w:p>
        </w:tc>
        <w:tc>
          <w:tcPr>
            <w:tcW w:w="598"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001956</w:t>
            </w:r>
          </w:p>
        </w:tc>
        <w:tc>
          <w:tcPr>
            <w:tcW w:w="807"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B</w:t>
            </w:r>
            <w:r>
              <w:rPr>
                <w:rFonts w:cs="Times New Roman" w:asciiTheme="minorEastAsia" w:hAnsiTheme="minorEastAsia"/>
                <w:szCs w:val="21"/>
              </w:rPr>
              <w:t>XHJ602299</w:t>
            </w:r>
          </w:p>
        </w:tc>
        <w:tc>
          <w:tcPr>
            <w:tcW w:w="15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cs="Times New Roman" w:asciiTheme="minorEastAsia" w:hAnsiTheme="minorEastAsia"/>
                <w:szCs w:val="21"/>
              </w:rPr>
            </w:pPr>
            <w:r>
              <w:rPr>
                <w:rFonts w:hint="eastAsia" w:cs="Times New Roman" w:asciiTheme="minorEastAsia" w:hAnsiTheme="minorEastAsia"/>
                <w:szCs w:val="21"/>
              </w:rPr>
              <w:t>体育</w:t>
            </w:r>
          </w:p>
        </w:tc>
        <w:tc>
          <w:tcPr>
            <w:tcW w:w="36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0</w:t>
            </w:r>
          </w:p>
        </w:tc>
        <w:tc>
          <w:tcPr>
            <w:tcW w:w="629" w:type="pct"/>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p>
        </w:tc>
      </w:tr>
    </w:tbl>
    <w:p>
      <w:pPr>
        <w:keepNext w:val="0"/>
        <w:keepLines w:val="0"/>
        <w:pageBreakBefore w:val="0"/>
        <w:widowControl w:val="0"/>
        <w:kinsoku/>
        <w:wordWrap/>
        <w:overflowPunct/>
        <w:topLinePunct w:val="0"/>
        <w:autoSpaceDE/>
        <w:autoSpaceDN/>
        <w:bidi w:val="0"/>
        <w:spacing w:before="95" w:beforeLines="30" w:after="95" w:afterLines="30" w:line="300" w:lineRule="auto"/>
        <w:ind w:firstLine="480" w:firstLineChars="200"/>
        <w:textAlignment w:val="auto"/>
        <w:rPr>
          <w:rFonts w:ascii="黑体" w:hAnsi="黑体" w:eastAsia="黑体"/>
          <w:sz w:val="24"/>
          <w:szCs w:val="24"/>
        </w:rPr>
      </w:pPr>
      <w:bookmarkStart w:id="356" w:name="_Toc12440056"/>
      <w:bookmarkStart w:id="357" w:name="_Toc45890745"/>
      <w:bookmarkStart w:id="358" w:name="_Toc520822648"/>
      <w:r>
        <w:rPr>
          <w:rFonts w:ascii="黑体" w:hAnsi="黑体" w:eastAsia="黑体"/>
          <w:sz w:val="24"/>
          <w:szCs w:val="24"/>
        </w:rPr>
        <w:t>六、</w:t>
      </w:r>
      <w:r>
        <w:rPr>
          <w:rFonts w:hint="eastAsia" w:ascii="黑体" w:hAnsi="黑体" w:eastAsia="黑体"/>
          <w:sz w:val="24"/>
          <w:szCs w:val="24"/>
        </w:rPr>
        <w:t>必修</w:t>
      </w:r>
      <w:r>
        <w:rPr>
          <w:rFonts w:ascii="黑体" w:hAnsi="黑体" w:eastAsia="黑体"/>
          <w:sz w:val="24"/>
          <w:szCs w:val="24"/>
        </w:rPr>
        <w:t>环节</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．学</w:t>
      </w:r>
      <w:r>
        <w:rPr>
          <w:rFonts w:ascii="Times New Roman" w:hAnsi="Times New Roman" w:eastAsia="宋体" w:cs="Times New Roman"/>
          <w:b/>
          <w:bCs/>
          <w:szCs w:val="21"/>
        </w:rPr>
        <w:t>术活动（讲座）</w:t>
      </w:r>
    </w:p>
    <w:p>
      <w:pPr>
        <w:keepNext w:val="0"/>
        <w:keepLines w:val="0"/>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博士研究生学术活动（讲座）分为必听讲座和选听讲座。必听讲座为</w:t>
      </w:r>
      <w:r>
        <w:rPr>
          <w:rFonts w:cs="Times New Roman" w:asciiTheme="minorEastAsia" w:hAnsiTheme="minorEastAsia"/>
          <w:szCs w:val="21"/>
        </w:rPr>
        <w:t>“科学道德与学风建设”</w:t>
      </w:r>
      <w:r>
        <w:rPr>
          <w:rFonts w:ascii="Times New Roman" w:hAnsi="Times New Roman" w:eastAsia="宋体" w:cs="Times New Roman"/>
          <w:szCs w:val="21"/>
        </w:rPr>
        <w:t>；选听讲座包括与学科紧密相关</w:t>
      </w:r>
      <w:r>
        <w:rPr>
          <w:rFonts w:cs="Times New Roman" w:asciiTheme="minorEastAsia" w:hAnsiTheme="minorEastAsia"/>
          <w:szCs w:val="21"/>
        </w:rPr>
        <w:t>的“学</w:t>
      </w:r>
      <w:r>
        <w:rPr>
          <w:rFonts w:ascii="Times New Roman" w:hAnsi="Times New Roman" w:eastAsia="宋体" w:cs="Times New Roman"/>
          <w:szCs w:val="21"/>
        </w:rPr>
        <w:t>科前沿系列专题</w:t>
      </w:r>
      <w:r>
        <w:rPr>
          <w:rFonts w:cs="Times New Roman" w:asciiTheme="minorEastAsia" w:hAnsiTheme="minorEastAsia"/>
          <w:szCs w:val="21"/>
        </w:rPr>
        <w:t>讲座”（</w:t>
      </w:r>
      <w:r>
        <w:rPr>
          <w:rFonts w:ascii="Times New Roman" w:hAnsi="Times New Roman" w:eastAsia="宋体" w:cs="Times New Roman"/>
          <w:szCs w:val="21"/>
        </w:rPr>
        <w:t>由各二级学科组织若干教授对本学科前沿知识进行讲座，每个讲座由5个以上讲座组成）一个系列和在全校范围内选听</w:t>
      </w:r>
      <w:r>
        <w:rPr>
          <w:rFonts w:cs="Times New Roman" w:asciiTheme="minorEastAsia" w:hAnsiTheme="minorEastAsia"/>
          <w:szCs w:val="21"/>
        </w:rPr>
        <w:t>“学术讲座”</w:t>
      </w:r>
      <w:r>
        <w:rPr>
          <w:rFonts w:ascii="Times New Roman" w:hAnsi="Times New Roman" w:eastAsia="宋体" w:cs="Times New Roman"/>
          <w:szCs w:val="21"/>
        </w:rPr>
        <w:t>1次，自己公开讲座1次，完成后记2学分</w:t>
      </w:r>
      <w:r>
        <w:rPr>
          <w:rFonts w:hint="eastAsia"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w:t>
      </w:r>
      <w:r>
        <w:rPr>
          <w:rFonts w:ascii="Times New Roman" w:hAnsi="Times New Roman" w:eastAsia="宋体" w:cs="Times New Roman"/>
          <w:b/>
          <w:bCs/>
          <w:szCs w:val="21"/>
        </w:rPr>
        <w:t>社会实践</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w:t>
      </w:r>
      <w:r>
        <w:rPr>
          <w:rFonts w:cs="Times New Roman" w:asciiTheme="minorEastAsia" w:hAnsiTheme="minorEastAsia"/>
          <w:szCs w:val="21"/>
        </w:rPr>
        <w:t>社会实践</w:t>
      </w:r>
      <w:r>
        <w:rPr>
          <w:rFonts w:hint="eastAsia" w:cs="Times New Roman" w:asciiTheme="minorEastAsia" w:hAnsiTheme="minorEastAsia"/>
          <w:szCs w:val="21"/>
        </w:rPr>
        <w:t>”</w:t>
      </w:r>
      <w:r>
        <w:rPr>
          <w:rFonts w:cs="Times New Roman" w:asciiTheme="minorEastAsia" w:hAnsiTheme="minorEastAsia"/>
          <w:szCs w:val="21"/>
        </w:rPr>
        <w:t>是指研究生在校学习期间，除完成本学科规定的业务实践外，接触社会、了解社会、服务社会的实践活动。</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可以通过组织和参与社会调查、支教、扶贫及其他志愿者服务等方式进行，提倡以小组或团队形式开展活动，累计不少于</w:t>
      </w:r>
      <w:r>
        <w:rPr>
          <w:rFonts w:ascii="Times New Roman" w:hAnsi="Times New Roman" w:cs="Times New Roman"/>
          <w:szCs w:val="21"/>
        </w:rPr>
        <w:t>10</w:t>
      </w:r>
      <w:r>
        <w:rPr>
          <w:rFonts w:cs="Times New Roman" w:asciiTheme="minorEastAsia" w:hAnsiTheme="minorEastAsia"/>
          <w:szCs w:val="21"/>
        </w:rPr>
        <w:t>个工作日。</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研</w:t>
      </w:r>
      <w:r>
        <w:rPr>
          <w:rFonts w:cs="Times New Roman" w:asciiTheme="minorEastAsia" w:hAnsiTheme="minorEastAsia"/>
          <w:spacing w:val="-2"/>
          <w:szCs w:val="21"/>
        </w:rPr>
        <w:t>究生完成</w:t>
      </w:r>
      <w:r>
        <w:rPr>
          <w:rFonts w:hint="eastAsia" w:cs="Times New Roman" w:asciiTheme="minorEastAsia" w:hAnsiTheme="minorEastAsia"/>
          <w:spacing w:val="-2"/>
          <w:szCs w:val="21"/>
        </w:rPr>
        <w:t>“</w:t>
      </w:r>
      <w:r>
        <w:rPr>
          <w:rFonts w:cs="Times New Roman" w:asciiTheme="minorEastAsia" w:hAnsiTheme="minorEastAsia"/>
          <w:spacing w:val="-2"/>
          <w:szCs w:val="21"/>
        </w:rPr>
        <w:t>社会实践</w:t>
      </w:r>
      <w:r>
        <w:rPr>
          <w:rFonts w:hint="eastAsia" w:cs="Times New Roman" w:asciiTheme="minorEastAsia" w:hAnsiTheme="minorEastAsia"/>
          <w:spacing w:val="-2"/>
          <w:szCs w:val="21"/>
        </w:rPr>
        <w:t>”</w:t>
      </w:r>
      <w:r>
        <w:rPr>
          <w:rFonts w:cs="Times New Roman" w:asciiTheme="minorEastAsia" w:hAnsiTheme="minorEastAsia"/>
          <w:spacing w:val="-2"/>
          <w:szCs w:val="21"/>
        </w:rPr>
        <w:t>活动后，需撰写不少于</w:t>
      </w:r>
      <w:r>
        <w:rPr>
          <w:rFonts w:ascii="Times New Roman" w:hAnsi="Times New Roman" w:cs="Times New Roman"/>
          <w:spacing w:val="-2"/>
          <w:szCs w:val="21"/>
        </w:rPr>
        <w:t>3000</w:t>
      </w:r>
      <w:r>
        <w:rPr>
          <w:rFonts w:cs="Times New Roman" w:asciiTheme="minorEastAsia" w:hAnsiTheme="minorEastAsia"/>
          <w:spacing w:val="-2"/>
          <w:szCs w:val="21"/>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rFonts w:ascii="Times New Roman" w:hAnsi="Times New Roman" w:cs="Times New Roman"/>
          <w:spacing w:val="-2"/>
          <w:szCs w:val="21"/>
        </w:rPr>
        <w:t>1</w:t>
      </w:r>
      <w:r>
        <w:rPr>
          <w:rFonts w:cs="Times New Roman" w:asciiTheme="minorEastAsia" w:hAnsiTheme="minorEastAsia"/>
          <w:spacing w:val="-2"/>
          <w:szCs w:val="21"/>
        </w:rPr>
        <w:t>学分。</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w:t>
      </w:r>
      <w:r>
        <w:rPr>
          <w:rFonts w:ascii="Times New Roman" w:hAnsi="Times New Roman" w:eastAsia="宋体" w:cs="Times New Roman"/>
          <w:b/>
          <w:bCs/>
          <w:szCs w:val="21"/>
        </w:rPr>
        <w:t>两助一辅</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w:t>
      </w:r>
      <w:r>
        <w:rPr>
          <w:rFonts w:cs="Times New Roman" w:asciiTheme="minorEastAsia" w:hAnsiTheme="minorEastAsia"/>
          <w:szCs w:val="21"/>
        </w:rPr>
        <w:t>两助一辅</w:t>
      </w:r>
      <w:r>
        <w:rPr>
          <w:rFonts w:hint="eastAsia" w:cs="Times New Roman" w:asciiTheme="minorEastAsia" w:hAnsiTheme="minorEastAsia"/>
          <w:szCs w:val="21"/>
        </w:rPr>
        <w:t>”</w:t>
      </w:r>
      <w:r>
        <w:rPr>
          <w:rFonts w:cs="Times New Roman" w:asciiTheme="minorEastAsia" w:hAnsiTheme="minorEastAsia"/>
          <w:szCs w:val="21"/>
        </w:rPr>
        <w:t>是指研究生担任助教、助管和辅导员工作，其目的是培养研究生的综合能力，是研究生培养过程的有机组成部分。</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全日制博士研究生在培养过程中必须完成至少一个标准岗位的助教、助管或辅导员工作。该环节纳入学分管理，通过后记</w:t>
      </w:r>
      <w:r>
        <w:rPr>
          <w:rFonts w:ascii="Times New Roman" w:hAnsi="Times New Roman" w:cs="Times New Roman"/>
          <w:szCs w:val="21"/>
        </w:rPr>
        <w:t>2</w:t>
      </w:r>
      <w:r>
        <w:rPr>
          <w:rFonts w:cs="Times New Roman" w:asciiTheme="minorEastAsia" w:hAnsiTheme="minorEastAsia"/>
          <w:szCs w:val="21"/>
        </w:rPr>
        <w:t>学分。</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4</w:t>
      </w:r>
      <w:r>
        <w:rPr>
          <w:rFonts w:hint="eastAsia" w:ascii="Times New Roman" w:hAnsi="Times New Roman" w:eastAsia="宋体" w:cs="Times New Roman"/>
          <w:b/>
          <w:bCs/>
          <w:szCs w:val="21"/>
        </w:rPr>
        <w:t>．</w:t>
      </w:r>
      <w:r>
        <w:rPr>
          <w:rFonts w:ascii="Times New Roman" w:hAnsi="Times New Roman" w:eastAsia="宋体" w:cs="Times New Roman"/>
          <w:b/>
          <w:bCs/>
          <w:szCs w:val="21"/>
        </w:rPr>
        <w:t>基金撰写</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kern w:val="0"/>
          <w:szCs w:val="21"/>
        </w:rPr>
      </w:pPr>
      <w:r>
        <w:rPr>
          <w:rFonts w:hint="eastAsia" w:cs="Times New Roman" w:asciiTheme="minorEastAsia" w:hAnsiTheme="minorEastAsia"/>
          <w:szCs w:val="21"/>
        </w:rPr>
        <w:t>博士</w:t>
      </w:r>
      <w:r>
        <w:rPr>
          <w:rFonts w:cs="Times New Roman" w:asciiTheme="minorEastAsia" w:hAnsiTheme="minorEastAsia"/>
          <w:szCs w:val="21"/>
        </w:rPr>
        <w:t>研究生在学习期间，须在导师指导下，完成一项国家科研基金申请书的撰写，培养博士生申请科研项目的能力，导师同意通过后，记</w:t>
      </w:r>
      <w:r>
        <w:rPr>
          <w:rFonts w:ascii="Times New Roman" w:hAnsi="Times New Roman" w:cs="Times New Roman"/>
          <w:szCs w:val="21"/>
        </w:rPr>
        <w:t>1</w:t>
      </w:r>
      <w:r>
        <w:rPr>
          <w:rFonts w:cs="Times New Roman" w:asciiTheme="minorEastAsia" w:hAnsiTheme="minorEastAsia"/>
          <w:szCs w:val="21"/>
        </w:rPr>
        <w:t>学分。</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5</w:t>
      </w:r>
      <w:r>
        <w:rPr>
          <w:rFonts w:hint="eastAsia" w:ascii="Times New Roman" w:hAnsi="Times New Roman" w:eastAsia="宋体" w:cs="Times New Roman"/>
          <w:b/>
          <w:bCs/>
          <w:szCs w:val="21"/>
        </w:rPr>
        <w:t>．</w:t>
      </w:r>
      <w:r>
        <w:rPr>
          <w:rFonts w:ascii="Times New Roman" w:hAnsi="Times New Roman" w:eastAsia="宋体" w:cs="Times New Roman"/>
          <w:b/>
          <w:bCs/>
          <w:szCs w:val="21"/>
        </w:rPr>
        <w:t>国际化交流</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kern w:val="0"/>
          <w:szCs w:val="21"/>
        </w:rPr>
        <w:t>立足于培养</w:t>
      </w:r>
      <w:r>
        <w:rPr>
          <w:rFonts w:hint="eastAsia" w:cs="Times New Roman" w:asciiTheme="minorEastAsia" w:hAnsiTheme="minorEastAsia"/>
          <w:kern w:val="0"/>
          <w:szCs w:val="21"/>
        </w:rPr>
        <w:t>博士</w:t>
      </w:r>
      <w:r>
        <w:rPr>
          <w:rFonts w:cs="Times New Roman" w:asciiTheme="minorEastAsia" w:hAnsiTheme="minorEastAsia"/>
          <w:kern w:val="0"/>
          <w:szCs w:val="21"/>
        </w:rPr>
        <w:t>研究生的全球化视野，</w:t>
      </w:r>
      <w:r>
        <w:rPr>
          <w:rFonts w:cs="Times New Roman" w:asciiTheme="minorEastAsia" w:hAnsiTheme="minorEastAsia"/>
          <w:szCs w:val="21"/>
        </w:rPr>
        <w:t>研究生在校期间，达到以下条件之一记1学分：</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1</w:t>
      </w:r>
      <w:r>
        <w:rPr>
          <w:rFonts w:cs="Times New Roman" w:asciiTheme="minorEastAsia" w:hAnsiTheme="minorEastAsia"/>
          <w:szCs w:val="21"/>
        </w:rPr>
        <w:t>）</w:t>
      </w:r>
      <w:r>
        <w:rPr>
          <w:rFonts w:hint="eastAsia" w:ascii="Times New Roman" w:hAnsi="Times New Roman" w:cs="Times New Roman"/>
          <w:szCs w:val="21"/>
        </w:rPr>
        <w:t>CSC</w:t>
      </w:r>
      <w:r>
        <w:rPr>
          <w:rFonts w:hint="eastAsia" w:cs="Times New Roman" w:asciiTheme="minorEastAsia" w:hAnsiTheme="minorEastAsia"/>
          <w:szCs w:val="21"/>
        </w:rPr>
        <w:t>项目；</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2</w:t>
      </w:r>
      <w:r>
        <w:rPr>
          <w:rFonts w:cs="Times New Roman" w:asciiTheme="minorEastAsia" w:hAnsiTheme="minorEastAsia"/>
          <w:szCs w:val="21"/>
        </w:rPr>
        <w:t>）</w:t>
      </w:r>
      <w:r>
        <w:rPr>
          <w:rFonts w:hint="eastAsia" w:cs="Times New Roman" w:asciiTheme="minorEastAsia" w:hAnsiTheme="minorEastAsia"/>
          <w:szCs w:val="21"/>
        </w:rPr>
        <w:t>与国（境）外</w:t>
      </w:r>
      <w:r>
        <w:rPr>
          <w:rFonts w:cs="Times New Roman" w:asciiTheme="minorEastAsia" w:hAnsiTheme="minorEastAsia"/>
          <w:szCs w:val="21"/>
        </w:rPr>
        <w:t>联合培养；</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3</w:t>
      </w:r>
      <w:r>
        <w:rPr>
          <w:rFonts w:cs="Times New Roman" w:asciiTheme="minorEastAsia" w:hAnsiTheme="minorEastAsia"/>
          <w:szCs w:val="21"/>
        </w:rPr>
        <w:t>）</w:t>
      </w:r>
      <w:r>
        <w:rPr>
          <w:rFonts w:hint="eastAsia" w:cs="Times New Roman" w:asciiTheme="minorEastAsia" w:hAnsiTheme="minorEastAsia"/>
          <w:szCs w:val="21"/>
        </w:rPr>
        <w:t>国（境）外</w:t>
      </w:r>
      <w:r>
        <w:rPr>
          <w:rFonts w:cs="Times New Roman" w:asciiTheme="minorEastAsia" w:hAnsiTheme="minorEastAsia"/>
          <w:szCs w:val="21"/>
        </w:rPr>
        <w:t>短期出</w:t>
      </w:r>
      <w:r>
        <w:rPr>
          <w:rFonts w:hint="eastAsia" w:cs="Times New Roman" w:asciiTheme="minorEastAsia" w:hAnsiTheme="minorEastAsia"/>
          <w:szCs w:val="21"/>
        </w:rPr>
        <w:t>访、国际组织实习（三个月以上）；</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4</w:t>
      </w:r>
      <w:r>
        <w:rPr>
          <w:rFonts w:cs="Times New Roman" w:asciiTheme="minorEastAsia" w:hAnsiTheme="minorEastAsia"/>
          <w:szCs w:val="21"/>
        </w:rPr>
        <w:t>）国内外举办的</w:t>
      </w:r>
      <w:r>
        <w:rPr>
          <w:rFonts w:hint="eastAsia" w:cs="Times New Roman" w:asciiTheme="minorEastAsia" w:hAnsiTheme="minorEastAsia"/>
          <w:szCs w:val="21"/>
        </w:rPr>
        <w:t>高水平</w:t>
      </w:r>
      <w:r>
        <w:rPr>
          <w:rFonts w:cs="Times New Roman" w:asciiTheme="minorEastAsia" w:hAnsiTheme="minorEastAsia"/>
          <w:szCs w:val="21"/>
        </w:rPr>
        <w:t>国际</w:t>
      </w:r>
      <w:r>
        <w:rPr>
          <w:rFonts w:hint="eastAsia" w:cs="Times New Roman" w:asciiTheme="minorEastAsia" w:hAnsiTheme="minorEastAsia"/>
          <w:szCs w:val="21"/>
        </w:rPr>
        <w:t>学术</w:t>
      </w:r>
      <w:r>
        <w:rPr>
          <w:rFonts w:cs="Times New Roman" w:asciiTheme="minorEastAsia" w:hAnsiTheme="minorEastAsia"/>
          <w:szCs w:val="21"/>
        </w:rPr>
        <w:t>会议（参加、投稿被书面收录、壁报、小组发言、大会发言，均被认可，但需提供详细的书面证明邀请信、参会照片、收录节选、壁报展示及照片、小组发言或大会发言照片等）；</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5</w:t>
      </w:r>
      <w:r>
        <w:rPr>
          <w:rFonts w:ascii="Times New Roman" w:hAnsi="Times New Roman" w:cs="Times New Roman"/>
          <w:szCs w:val="21"/>
        </w:rPr>
        <w:t>）</w:t>
      </w:r>
      <w:r>
        <w:rPr>
          <w:rFonts w:hint="eastAsia" w:cs="Times New Roman" w:asciiTheme="minorEastAsia" w:hAnsiTheme="minorEastAsia"/>
          <w:szCs w:val="21"/>
        </w:rPr>
        <w:t>选修国外高校全英文在线课程（</w:t>
      </w:r>
      <w:r>
        <w:rPr>
          <w:rFonts w:hint="eastAsia" w:ascii="Times New Roman" w:hAnsi="Times New Roman" w:cs="Times New Roman"/>
          <w:szCs w:val="21"/>
        </w:rPr>
        <w:t>MOOC</w:t>
      </w:r>
      <w:r>
        <w:rPr>
          <w:rFonts w:hint="eastAsia" w:cs="Times New Roman" w:asciiTheme="minorEastAsia" w:hAnsiTheme="minorEastAsia"/>
          <w:szCs w:val="21"/>
        </w:rPr>
        <w:t>），并取得合格证书；</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6</w:t>
      </w:r>
      <w:r>
        <w:rPr>
          <w:rFonts w:cs="Times New Roman" w:asciiTheme="minorEastAsia" w:hAnsiTheme="minorEastAsia"/>
          <w:szCs w:val="21"/>
        </w:rPr>
        <w:t>）</w:t>
      </w:r>
      <w:r>
        <w:rPr>
          <w:rFonts w:hint="eastAsia" w:cs="Times New Roman" w:asciiTheme="minorEastAsia" w:hAnsiTheme="minorEastAsia"/>
          <w:szCs w:val="21"/>
        </w:rPr>
        <w:t>参加国际专业竞赛并获奖。</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6．文献</w:t>
      </w:r>
      <w:r>
        <w:rPr>
          <w:rFonts w:ascii="Times New Roman" w:hAnsi="Times New Roman" w:eastAsia="宋体" w:cs="Times New Roman"/>
          <w:b/>
          <w:bCs/>
          <w:szCs w:val="21"/>
        </w:rPr>
        <w:t>阅读</w:t>
      </w:r>
    </w:p>
    <w:p>
      <w:pPr>
        <w:keepNext w:val="0"/>
        <w:keepLines w:val="0"/>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博士研究生</w:t>
      </w:r>
      <w:r>
        <w:rPr>
          <w:rFonts w:ascii="Times New Roman" w:hAnsi="Times New Roman" w:eastAsia="宋体" w:cs="Times New Roman"/>
          <w:szCs w:val="21"/>
        </w:rPr>
        <w:t>在第</w:t>
      </w:r>
      <w:r>
        <w:rPr>
          <w:rFonts w:hint="eastAsia" w:ascii="Times New Roman" w:hAnsi="Times New Roman" w:eastAsia="宋体" w:cs="Times New Roman"/>
          <w:szCs w:val="21"/>
        </w:rPr>
        <w:t>三</w:t>
      </w:r>
      <w:r>
        <w:rPr>
          <w:rFonts w:ascii="Times New Roman" w:hAnsi="Times New Roman" w:eastAsia="宋体" w:cs="Times New Roman"/>
          <w:szCs w:val="21"/>
        </w:rPr>
        <w:t>学</w:t>
      </w:r>
      <w:r>
        <w:rPr>
          <w:rFonts w:hint="eastAsia" w:ascii="Times New Roman" w:hAnsi="Times New Roman" w:eastAsia="宋体" w:cs="Times New Roman"/>
          <w:szCs w:val="21"/>
        </w:rPr>
        <w:t>期</w:t>
      </w:r>
      <w:r>
        <w:rPr>
          <w:rFonts w:ascii="Times New Roman" w:hAnsi="Times New Roman" w:eastAsia="宋体" w:cs="Times New Roman"/>
          <w:szCs w:val="21"/>
        </w:rPr>
        <w:t>完成</w:t>
      </w:r>
      <w:r>
        <w:rPr>
          <w:rFonts w:hint="eastAsia" w:ascii="Times New Roman" w:hAnsi="Times New Roman" w:eastAsia="宋体" w:cs="Times New Roman"/>
          <w:szCs w:val="21"/>
        </w:rPr>
        <w:t>文献阅读</w:t>
      </w:r>
      <w:r>
        <w:rPr>
          <w:rFonts w:ascii="Times New Roman" w:hAnsi="Times New Roman" w:eastAsia="宋体" w:cs="Times New Roman"/>
          <w:szCs w:val="21"/>
        </w:rPr>
        <w:t>考核</w:t>
      </w:r>
      <w:r>
        <w:rPr>
          <w:rFonts w:hint="eastAsia" w:ascii="Times New Roman" w:hAnsi="Times New Roman" w:eastAsia="宋体" w:cs="Times New Roman"/>
          <w:szCs w:val="21"/>
        </w:rPr>
        <w:t>。</w:t>
      </w:r>
    </w:p>
    <w:p>
      <w:pPr>
        <w:keepNext w:val="0"/>
        <w:keepLines w:val="0"/>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文献阅读是引领研究生特别是博士生夯实学术根基、迅速进入学科专业研究领域和培养研究生科研素养的重要手段，是课程知识扩展和补充的重要方式。学生入学后</w:t>
      </w:r>
      <w:r>
        <w:rPr>
          <w:rFonts w:ascii="Times New Roman" w:hAnsi="Times New Roman" w:eastAsia="宋体" w:cs="Times New Roman"/>
          <w:szCs w:val="21"/>
        </w:rPr>
        <w:t>结合学科发展和论文研究方向，在导师指导下阅读国内外文献资料。</w:t>
      </w:r>
      <w:r>
        <w:rPr>
          <w:rFonts w:hint="eastAsia" w:ascii="Times New Roman" w:hAnsi="Times New Roman" w:eastAsia="宋体" w:cs="Times New Roman"/>
          <w:szCs w:val="21"/>
        </w:rPr>
        <w:t>考核形式采用提交文献综述形式（要求字数不少于</w:t>
      </w:r>
      <w:r>
        <w:rPr>
          <w:rFonts w:ascii="Times New Roman" w:hAnsi="Times New Roman" w:eastAsia="宋体" w:cs="Times New Roman"/>
          <w:szCs w:val="21"/>
        </w:rPr>
        <w:t>5000</w:t>
      </w:r>
      <w:r>
        <w:rPr>
          <w:rFonts w:hint="eastAsia" w:ascii="Times New Roman" w:hAnsi="Times New Roman" w:eastAsia="宋体" w:cs="Times New Roman"/>
          <w:szCs w:val="21"/>
        </w:rPr>
        <w:t>字，参考文献应包含中文文献和外文文献，综述文献不少于</w:t>
      </w:r>
      <w:r>
        <w:rPr>
          <w:rFonts w:ascii="Times New Roman" w:hAnsi="Times New Roman" w:eastAsia="宋体" w:cs="Times New Roman"/>
          <w:szCs w:val="21"/>
        </w:rPr>
        <w:t>60</w:t>
      </w:r>
      <w:r>
        <w:rPr>
          <w:rFonts w:hint="eastAsia" w:ascii="Times New Roman" w:hAnsi="Times New Roman" w:eastAsia="宋体" w:cs="Times New Roman"/>
          <w:szCs w:val="21"/>
        </w:rPr>
        <w:t>篇），导师签字确认后提交，学院组织评审专家对综述报告的选题、格式、内容以及书面表达能力等进行评审，审核通过者，记</w:t>
      </w:r>
      <w:r>
        <w:rPr>
          <w:rFonts w:ascii="Times New Roman" w:hAnsi="Times New Roman" w:eastAsia="宋体" w:cs="Times New Roman"/>
          <w:szCs w:val="21"/>
        </w:rPr>
        <w:t>2</w:t>
      </w:r>
      <w:r>
        <w:rPr>
          <w:rFonts w:hint="eastAsia" w:ascii="Times New Roman" w:hAnsi="Times New Roman" w:eastAsia="宋体" w:cs="Times New Roman"/>
          <w:szCs w:val="21"/>
        </w:rPr>
        <w:t>学分。审核未通过者，按照专家审核意见完成修改后提交学院进行二次评审。经两次审核都未通过者，不记入学分。考核工作由医学部各学院统一安排。</w:t>
      </w:r>
    </w:p>
    <w:p>
      <w:pPr>
        <w:keepNext w:val="0"/>
        <w:keepLines w:val="0"/>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文献阅读考核需在博士生中期考核前完成考核。</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7</w:t>
      </w:r>
      <w:r>
        <w:rPr>
          <w:rFonts w:hint="eastAsia" w:ascii="Times New Roman" w:hAnsi="Times New Roman" w:eastAsia="宋体" w:cs="Times New Roman"/>
          <w:b/>
          <w:bCs/>
          <w:szCs w:val="21"/>
        </w:rPr>
        <w:t>．</w:t>
      </w:r>
      <w:r>
        <w:rPr>
          <w:rFonts w:ascii="Times New Roman" w:hAnsi="Times New Roman" w:eastAsia="宋体" w:cs="Times New Roman"/>
          <w:b/>
          <w:bCs/>
          <w:szCs w:val="21"/>
        </w:rPr>
        <w:t>开题报告</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开题报告一般应在第三学期前完成，具体时间由导师或院系决定，并上报学院（系）教学管理部门备案。从开题报告通过至申请论文答辩的时间一般不少于一年。开题报告由医学部各学院（系）组织，应以学术活动的形式在学院（系）内公开进行，并邀请相关教师和研究生参加。各学院（系）邀请本学院督导列席旁听并打分。开题报告评审专家小组由3-5名校内外博士生导师组成（导师及导师团队成员为主体）。考查内容包括：文献综述、选题意义与科学依据、研究基础、研究内容与计划、工作难点及特色、预期成果以及可能产生的创新点、论文选题与学科的匹配度等。经评审通过的开题报告，须以书面形式交医学部人才培养处审核备案。</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8</w:t>
      </w:r>
      <w:r>
        <w:rPr>
          <w:rFonts w:hint="eastAsia" w:ascii="Times New Roman" w:hAnsi="Times New Roman" w:eastAsia="宋体" w:cs="Times New Roman"/>
          <w:b/>
          <w:bCs/>
          <w:szCs w:val="21"/>
        </w:rPr>
        <w:t>．</w:t>
      </w:r>
      <w:r>
        <w:rPr>
          <w:rFonts w:ascii="Times New Roman" w:hAnsi="Times New Roman" w:eastAsia="宋体" w:cs="Times New Roman"/>
          <w:b/>
          <w:bCs/>
          <w:szCs w:val="21"/>
        </w:rPr>
        <w:t>中期考核</w:t>
      </w:r>
    </w:p>
    <w:p>
      <w:pPr>
        <w:keepNext w:val="0"/>
        <w:keepLines w:val="0"/>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中期考核一般安排在第四学期（贯通培养研究生转为博士生培养后可在第三学期，以直攻博方式进入贯通式培养体系的学生，自第三学年起至第四学年末完成中期考核）进行。中期考核由院系组织，应以学术活动的形式公开进行，考核小组由5-7名本学科或相关学科博士生导师组成。中期考核内容包括：学科基础综合考试（含学科基础文献集阅读）、业务表现与论文工作进展、论文选题与学科的匹配度、综合能力等方面。研究生提交由导师签字的课程成绩、课题研究进展报告等书面材料后，方可参加中期考核。中期考核所有评审材料，须在医学部人才培养处审核备案。</w:t>
      </w:r>
    </w:p>
    <w:p>
      <w:pPr>
        <w:keepNext w:val="0"/>
        <w:keepLines w:val="0"/>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博士研究生应按时参加中期考核，如有特殊情况需延期参加，须本人申请并获得批准后参加补考核，具体时间由医学部人才培养处确定。</w:t>
      </w:r>
    </w:p>
    <w:p>
      <w:pPr>
        <w:keepNext w:val="0"/>
        <w:keepLines w:val="0"/>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中期考核具体要求参照《西安交通大学关于博士研究生中期考核的若干规定》（西交研〔2014〕25号）执行。</w:t>
      </w:r>
    </w:p>
    <w:p>
      <w:pPr>
        <w:keepNext w:val="0"/>
        <w:keepLines w:val="0"/>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研究生的开题报告和中期报告中应包含实验安全风险评估的内容。</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9</w:t>
      </w:r>
      <w:r>
        <w:rPr>
          <w:rFonts w:hint="eastAsia" w:ascii="Times New Roman" w:hAnsi="Times New Roman" w:eastAsia="宋体" w:cs="Times New Roman"/>
          <w:b/>
          <w:bCs/>
          <w:szCs w:val="21"/>
        </w:rPr>
        <w:t>．</w:t>
      </w:r>
      <w:r>
        <w:rPr>
          <w:rFonts w:ascii="Times New Roman" w:hAnsi="Times New Roman" w:eastAsia="宋体" w:cs="Times New Roman"/>
          <w:b/>
          <w:bCs/>
          <w:szCs w:val="21"/>
        </w:rPr>
        <w:t>最终学术报告（预答辩）</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博士研究生完成学位论文后，须在医学部或医学部各院（系）范围内进行公开预答辩，报告自己的研究成果。预答辩专家组由5名本学科或相关学科专家组成，其中至少3人为博士生导师。各学院（系）邀请本学院督导或相关学科专家列席旁听。在预答辩中，须严格审查论文选题的前沿性、理论及现实意义，学位论文是否有独立见解，学位论文的工作量，研究工作的系统性、完整性，论文选题与学科的匹配度等。</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对预答辩中提出的问题，博士研究生应认真修改与补充，填写修改说明表，经导师签字同意并报预答辩专家组组长签字同意后，方可进入论文评阅、答辩环节。对于未获得通过的学位论文，博士研究生应修改后重新进行预答辩。</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对于未获得通过和</w:t>
      </w:r>
      <w:r>
        <w:rPr>
          <w:rFonts w:cs="Times New Roman" w:asciiTheme="minorEastAsia" w:hAnsiTheme="minorEastAsia"/>
          <w:szCs w:val="21"/>
        </w:rPr>
        <w:t>问题较多的学位论文要经过研究生修改后重新组织预答辩。</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预答辩具体参照《西安交通大学学位授予工作暂行办法》（西交研〔2003〕14号）执行。</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b/>
          <w:bCs w:val="0"/>
          <w:szCs w:val="21"/>
        </w:rPr>
      </w:pPr>
      <w:r>
        <w:rPr>
          <w:rFonts w:ascii="Times New Roman" w:hAnsi="Times New Roman" w:eastAsia="宋体"/>
          <w:b/>
          <w:bCs w:val="0"/>
          <w:szCs w:val="21"/>
        </w:rPr>
        <w:t>10.体育、美育、劳动教育</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bCs/>
          <w:szCs w:val="21"/>
        </w:rPr>
      </w:pPr>
      <w:r>
        <w:rPr>
          <w:rFonts w:hint="eastAsia" w:ascii="Times New Roman" w:hAnsi="Times New Roman" w:eastAsia="宋体"/>
          <w:bCs/>
          <w:szCs w:val="21"/>
        </w:rPr>
        <w:t>研究生依据当年的体育、美育、劳动教育研修指南，结合个人兴趣爱好和培养计划安排，制定个人体育、美育、劳动教育环节研修计划并开展研修，由体育、美育、劳动教育牵头单位对环节是否“通过”给予认定。</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11</w:t>
      </w:r>
      <w:r>
        <w:rPr>
          <w:rFonts w:hint="eastAsia" w:ascii="Times New Roman" w:hAnsi="Times New Roman" w:eastAsia="宋体" w:cs="Times New Roman"/>
          <w:b/>
          <w:bCs/>
          <w:szCs w:val="21"/>
        </w:rPr>
        <w:t>．</w:t>
      </w:r>
      <w:r>
        <w:rPr>
          <w:rFonts w:ascii="Times New Roman" w:hAnsi="Times New Roman" w:eastAsia="宋体" w:cs="Times New Roman"/>
          <w:b/>
          <w:bCs/>
          <w:szCs w:val="21"/>
        </w:rPr>
        <w:t>学术论文</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博士生应在导师的指导下，根据研究方向确定研究课题，课题需结合国民经济发展需求和学科发展趋势，具有前瞻性和理论价值，达到本学科前沿，博士研究生应独立完成具有一定学术水平和价值的学位论文。论文答辩</w:t>
      </w:r>
      <w:r>
        <w:rPr>
          <w:rFonts w:hint="eastAsia" w:cs="Times New Roman" w:asciiTheme="minorEastAsia" w:hAnsiTheme="minorEastAsia"/>
          <w:szCs w:val="21"/>
        </w:rPr>
        <w:t>具体参照</w:t>
      </w:r>
      <w:r>
        <w:rPr>
          <w:rFonts w:cs="Times New Roman" w:asciiTheme="minorEastAsia" w:hAnsiTheme="minorEastAsia"/>
          <w:szCs w:val="21"/>
        </w:rPr>
        <w:t>《西安交通大学学位授予工作暂行办法》（西交研〔2003〕14号）执行。</w:t>
      </w:r>
    </w:p>
    <w:p>
      <w:pPr>
        <w:pStyle w:val="3"/>
        <w:pageBreakBefore w:val="0"/>
        <w:widowControl w:val="0"/>
        <w:kinsoku/>
        <w:wordWrap/>
        <w:overflowPunct/>
        <w:topLinePunct w:val="0"/>
        <w:autoSpaceDE/>
        <w:autoSpaceDN/>
        <w:bidi w:val="0"/>
        <w:adjustRightInd/>
        <w:snapToGrid/>
        <w:spacing w:before="200" w:after="200" w:line="283" w:lineRule="auto"/>
        <w:jc w:val="center"/>
        <w:textAlignment w:val="auto"/>
        <w:rPr>
          <w:b w:val="0"/>
          <w:sz w:val="28"/>
          <w:szCs w:val="28"/>
        </w:rPr>
      </w:pPr>
      <w:bookmarkStart w:id="359" w:name="_Toc110427516"/>
      <w:r>
        <w:rPr>
          <w:rFonts w:hint="eastAsia"/>
          <w:b w:val="0"/>
          <w:sz w:val="28"/>
          <w:szCs w:val="28"/>
        </w:rPr>
        <w:t>（二）硕博贯通研究生培养方案</w:t>
      </w:r>
      <w:bookmarkEnd w:id="356"/>
      <w:bookmarkEnd w:id="357"/>
      <w:bookmarkEnd w:id="358"/>
      <w:bookmarkEnd w:id="359"/>
    </w:p>
    <w:p>
      <w:pPr>
        <w:pageBreakBefore w:val="0"/>
        <w:widowControl w:val="0"/>
        <w:kinsoku/>
        <w:wordWrap/>
        <w:overflowPunct/>
        <w:topLinePunct w:val="0"/>
        <w:autoSpaceDE/>
        <w:autoSpaceDN/>
        <w:bidi w:val="0"/>
        <w:adjustRightInd/>
        <w:snapToGrid/>
        <w:spacing w:before="200" w:after="200" w:line="286" w:lineRule="auto"/>
        <w:jc w:val="center"/>
        <w:textAlignment w:val="auto"/>
        <w:rPr>
          <w:rFonts w:ascii="楷体_GB2312" w:hAnsi="Times New Roman" w:eastAsia="楷体_GB2312" w:cs="Times New Roman"/>
          <w:sz w:val="28"/>
          <w:szCs w:val="28"/>
        </w:rPr>
      </w:pPr>
      <w:bookmarkStart w:id="360" w:name="_Toc500668311"/>
      <w:bookmarkStart w:id="361" w:name="_Toc500683448"/>
      <w:bookmarkStart w:id="362" w:name="_Toc508119594"/>
      <w:bookmarkStart w:id="363" w:name="_Toc500665684"/>
      <w:bookmarkStart w:id="364" w:name="_Toc508811184"/>
      <w:bookmarkStart w:id="365" w:name="_Toc508210281"/>
      <w:r>
        <w:rPr>
          <w:rFonts w:hint="eastAsia" w:ascii="楷体_GB2312" w:hAnsi="Times New Roman" w:eastAsia="楷体_GB2312" w:cs="Times New Roman"/>
          <w:sz w:val="28"/>
          <w:szCs w:val="28"/>
        </w:rPr>
        <w:t>★生物学（0710）硕士博士贯通式研究生培养方案</w:t>
      </w:r>
      <w:bookmarkEnd w:id="360"/>
      <w:bookmarkEnd w:id="361"/>
      <w:bookmarkEnd w:id="362"/>
      <w:bookmarkEnd w:id="363"/>
      <w:bookmarkEnd w:id="364"/>
      <w:bookmarkEnd w:id="365"/>
    </w:p>
    <w:p>
      <w:pPr>
        <w:keepNext w:val="0"/>
        <w:keepLines w:val="0"/>
        <w:pageBreakBefore w:val="0"/>
        <w:widowControl w:val="0"/>
        <w:kinsoku/>
        <w:wordWrap/>
        <w:overflowPunct/>
        <w:topLinePunct w:val="0"/>
        <w:autoSpaceDE/>
        <w:autoSpaceDN/>
        <w:bidi w:val="0"/>
        <w:spacing w:before="95" w:beforeLines="30" w:after="95" w:afterLines="30" w:line="300" w:lineRule="auto"/>
        <w:ind w:firstLine="480" w:firstLineChars="200"/>
        <w:textAlignment w:val="auto"/>
        <w:rPr>
          <w:rFonts w:ascii="黑体" w:hAnsi="黑体" w:eastAsia="黑体"/>
          <w:sz w:val="24"/>
          <w:szCs w:val="24"/>
        </w:rPr>
      </w:pPr>
      <w:bookmarkStart w:id="366" w:name="_Toc519846429"/>
      <w:bookmarkStart w:id="367" w:name="_Toc520822649"/>
      <w:r>
        <w:rPr>
          <w:rFonts w:ascii="黑体" w:hAnsi="黑体" w:eastAsia="黑体"/>
          <w:sz w:val="24"/>
          <w:szCs w:val="24"/>
        </w:rPr>
        <w:t>一、培养目标</w:t>
      </w:r>
      <w:bookmarkEnd w:id="366"/>
      <w:bookmarkEnd w:id="367"/>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bookmarkStart w:id="368" w:name="_Toc519846430"/>
      <w:bookmarkStart w:id="369" w:name="_Toc520822650"/>
      <w:r>
        <w:rPr>
          <w:rFonts w:cs="Times New Roman" w:asciiTheme="minorEastAsia" w:hAnsiTheme="minorEastAsia"/>
          <w:szCs w:val="21"/>
        </w:rPr>
        <w:t>秉承“扎根西部、服务国家、区域引领、世界一流”的办学定位，</w:t>
      </w:r>
      <w:r>
        <w:rPr>
          <w:rFonts w:hint="eastAsia" w:cs="Times New Roman" w:asciiTheme="minorEastAsia" w:hAnsiTheme="minorEastAsia"/>
          <w:szCs w:val="21"/>
        </w:rPr>
        <w:t>生物学硕博贯通式研究生培养目标为：</w:t>
      </w:r>
      <w:r>
        <w:rPr>
          <w:rFonts w:cs="Times New Roman" w:asciiTheme="minorEastAsia" w:hAnsiTheme="minorEastAsia"/>
          <w:szCs w:val="21"/>
        </w:rPr>
        <w:t>以科研创新能力培养为主，坚持德智体美</w:t>
      </w:r>
      <w:r>
        <w:rPr>
          <w:rFonts w:hint="eastAsia" w:cs="Times New Roman" w:asciiTheme="minorEastAsia" w:hAnsiTheme="minorEastAsia"/>
          <w:szCs w:val="21"/>
        </w:rPr>
        <w:t>劳</w:t>
      </w:r>
      <w:r>
        <w:rPr>
          <w:rFonts w:cs="Times New Roman" w:asciiTheme="minorEastAsia" w:hAnsiTheme="minorEastAsia"/>
          <w:szCs w:val="21"/>
        </w:rPr>
        <w:t>全面发展，培养造就具有</w:t>
      </w:r>
      <w:r>
        <w:rPr>
          <w:rFonts w:hint="eastAsia" w:cs="Times New Roman" w:asciiTheme="minorEastAsia" w:hAnsiTheme="minorEastAsia"/>
          <w:szCs w:val="21"/>
        </w:rPr>
        <w:t>强烈</w:t>
      </w:r>
      <w:r>
        <w:rPr>
          <w:rFonts w:cs="Times New Roman" w:asciiTheme="minorEastAsia" w:hAnsiTheme="minorEastAsia"/>
          <w:szCs w:val="21"/>
        </w:rPr>
        <w:t>社会责任感</w:t>
      </w:r>
      <w:r>
        <w:rPr>
          <w:rFonts w:hint="eastAsia" w:cs="Times New Roman" w:asciiTheme="minorEastAsia" w:hAnsiTheme="minorEastAsia"/>
          <w:szCs w:val="21"/>
        </w:rPr>
        <w:t>的</w:t>
      </w:r>
      <w:r>
        <w:rPr>
          <w:rFonts w:cs="Times New Roman" w:asciiTheme="minorEastAsia" w:hAnsiTheme="minorEastAsia"/>
          <w:szCs w:val="21"/>
        </w:rPr>
        <w:t>生物医学研究领域德才兼备的高层次创新型人才。具体要求是：</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 xml:space="preserve">1. </w:t>
      </w:r>
      <w:r>
        <w:rPr>
          <w:rFonts w:hint="eastAsia" w:cs="Times New Roman" w:asciiTheme="minorEastAsia" w:hAnsiTheme="minorEastAsia"/>
          <w:szCs w:val="21"/>
        </w:rPr>
        <w:t>掌握马克思主义基本原理，学习和贯彻习近平新时代中国特色社会主义思想和系列重要讲话精神，坚定道路自信、理论自信、制度自信、文化自信。热爱祖国，</w:t>
      </w:r>
      <w:r>
        <w:rPr>
          <w:rFonts w:cs="Times New Roman" w:asciiTheme="minorEastAsia" w:hAnsiTheme="minorEastAsia"/>
          <w:szCs w:val="21"/>
        </w:rPr>
        <w:t>遵纪守法</w:t>
      </w:r>
      <w:r>
        <w:rPr>
          <w:rFonts w:hint="eastAsia" w:cs="Times New Roman" w:asciiTheme="minorEastAsia" w:hAnsiTheme="minorEastAsia"/>
          <w:szCs w:val="21"/>
        </w:rPr>
        <w:t>，</w:t>
      </w:r>
      <w:r>
        <w:rPr>
          <w:rFonts w:cs="Times New Roman" w:asciiTheme="minorEastAsia" w:hAnsiTheme="minorEastAsia"/>
          <w:szCs w:val="21"/>
        </w:rPr>
        <w:t>品德</w:t>
      </w:r>
      <w:r>
        <w:rPr>
          <w:rFonts w:hint="eastAsia" w:cs="Times New Roman" w:asciiTheme="minorEastAsia" w:hAnsiTheme="minorEastAsia"/>
          <w:szCs w:val="21"/>
        </w:rPr>
        <w:t>优</w:t>
      </w:r>
      <w:r>
        <w:rPr>
          <w:rFonts w:cs="Times New Roman" w:asciiTheme="minorEastAsia" w:hAnsiTheme="minorEastAsia"/>
          <w:szCs w:val="21"/>
        </w:rPr>
        <w:t>良，治学严谨，</w:t>
      </w:r>
      <w:r>
        <w:rPr>
          <w:rFonts w:hint="eastAsia" w:cs="Times New Roman" w:asciiTheme="minorEastAsia" w:hAnsiTheme="minorEastAsia"/>
          <w:szCs w:val="21"/>
        </w:rPr>
        <w:t>学风端正，</w:t>
      </w:r>
      <w:r>
        <w:rPr>
          <w:rFonts w:cs="Times New Roman" w:asciiTheme="minorEastAsia" w:hAnsiTheme="minorEastAsia"/>
          <w:szCs w:val="21"/>
        </w:rPr>
        <w:t>有献身于</w:t>
      </w:r>
      <w:r>
        <w:rPr>
          <w:rFonts w:hint="eastAsia" w:cs="Times New Roman" w:asciiTheme="minorEastAsia" w:hAnsiTheme="minorEastAsia"/>
          <w:szCs w:val="21"/>
        </w:rPr>
        <w:t>生物学</w:t>
      </w:r>
      <w:r>
        <w:rPr>
          <w:rFonts w:cs="Times New Roman" w:asciiTheme="minorEastAsia" w:hAnsiTheme="minorEastAsia"/>
          <w:szCs w:val="21"/>
        </w:rPr>
        <w:t>科学研究的强烈事业心和创新精神</w:t>
      </w:r>
      <w:r>
        <w:rPr>
          <w:rFonts w:hint="eastAsia" w:cs="Times New Roman" w:asciiTheme="minorEastAsia" w:hAnsiTheme="minorEastAsia"/>
          <w:szCs w:val="21"/>
        </w:rPr>
        <w:t>。</w:t>
      </w:r>
      <w:r>
        <w:rPr>
          <w:rFonts w:cs="Times New Roman" w:asciiTheme="minorEastAsia" w:hAnsiTheme="minorEastAsia"/>
          <w:szCs w:val="21"/>
        </w:rPr>
        <w:t>具有健康的体魄和良好的心理素质</w:t>
      </w:r>
      <w:r>
        <w:rPr>
          <w:rFonts w:hint="eastAsia" w:cs="Times New Roman" w:asciiTheme="minorEastAsia" w:hAnsiTheme="minorEastAsia"/>
          <w:szCs w:val="21"/>
        </w:rPr>
        <w:t>，愿积极为祖国医学事业发展贡献自己的才智</w:t>
      </w:r>
      <w:r>
        <w:rPr>
          <w:rFonts w:cs="Times New Roman" w:asciiTheme="minorEastAsia" w:hAnsiTheme="minorEastAsia"/>
          <w:szCs w:val="21"/>
        </w:rPr>
        <w:t>。</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2. 具</w:t>
      </w:r>
      <w:r>
        <w:rPr>
          <w:rFonts w:hint="eastAsia" w:cs="Times New Roman" w:asciiTheme="minorEastAsia" w:hAnsiTheme="minorEastAsia"/>
          <w:szCs w:val="21"/>
        </w:rPr>
        <w:t>备</w:t>
      </w:r>
      <w:r>
        <w:rPr>
          <w:rFonts w:cs="Times New Roman" w:asciiTheme="minorEastAsia" w:hAnsiTheme="minorEastAsia"/>
          <w:szCs w:val="21"/>
        </w:rPr>
        <w:t>扎实的基础理论，掌握</w:t>
      </w:r>
      <w:r>
        <w:rPr>
          <w:rFonts w:hint="eastAsia" w:cs="Times New Roman" w:asciiTheme="minorEastAsia" w:hAnsiTheme="minorEastAsia"/>
          <w:szCs w:val="21"/>
        </w:rPr>
        <w:t>本学科的</w:t>
      </w:r>
      <w:r>
        <w:rPr>
          <w:rFonts w:cs="Times New Roman" w:asciiTheme="minorEastAsia" w:hAnsiTheme="minorEastAsia"/>
          <w:szCs w:val="21"/>
        </w:rPr>
        <w:t>专业</w:t>
      </w:r>
      <w:r>
        <w:rPr>
          <w:rFonts w:hint="eastAsia" w:cs="Times New Roman" w:asciiTheme="minorEastAsia" w:hAnsiTheme="minorEastAsia"/>
          <w:szCs w:val="21"/>
        </w:rPr>
        <w:t>基本</w:t>
      </w:r>
      <w:r>
        <w:rPr>
          <w:rFonts w:cs="Times New Roman" w:asciiTheme="minorEastAsia" w:hAnsiTheme="minorEastAsia"/>
          <w:szCs w:val="21"/>
        </w:rPr>
        <w:t>知识和</w:t>
      </w:r>
      <w:r>
        <w:rPr>
          <w:rFonts w:hint="eastAsia" w:cs="Times New Roman" w:asciiTheme="minorEastAsia" w:hAnsiTheme="minorEastAsia"/>
          <w:szCs w:val="21"/>
        </w:rPr>
        <w:t>基本技能。</w:t>
      </w:r>
      <w:r>
        <w:rPr>
          <w:rFonts w:cs="Times New Roman" w:asciiTheme="minorEastAsia" w:hAnsiTheme="minorEastAsia"/>
          <w:szCs w:val="21"/>
        </w:rPr>
        <w:t>能熟练应用各种</w:t>
      </w:r>
      <w:r>
        <w:rPr>
          <w:rFonts w:hint="eastAsia" w:cs="Times New Roman" w:asciiTheme="minorEastAsia" w:hAnsiTheme="minorEastAsia"/>
          <w:szCs w:val="21"/>
        </w:rPr>
        <w:t>医学</w:t>
      </w:r>
      <w:r>
        <w:rPr>
          <w:rFonts w:cs="Times New Roman" w:asciiTheme="minorEastAsia" w:hAnsiTheme="minorEastAsia"/>
          <w:szCs w:val="21"/>
        </w:rPr>
        <w:t>数据库</w:t>
      </w:r>
      <w:r>
        <w:rPr>
          <w:rFonts w:hint="eastAsia" w:cs="Times New Roman" w:asciiTheme="minorEastAsia" w:hAnsiTheme="minorEastAsia"/>
          <w:szCs w:val="21"/>
        </w:rPr>
        <w:t>，掌握</w:t>
      </w:r>
      <w:r>
        <w:rPr>
          <w:rFonts w:cs="Times New Roman" w:asciiTheme="minorEastAsia" w:hAnsiTheme="minorEastAsia"/>
          <w:szCs w:val="21"/>
        </w:rPr>
        <w:t>文献检索</w:t>
      </w:r>
      <w:r>
        <w:rPr>
          <w:rFonts w:hint="eastAsia" w:cs="Times New Roman" w:asciiTheme="minorEastAsia" w:hAnsiTheme="minorEastAsia"/>
          <w:szCs w:val="21"/>
        </w:rPr>
        <w:t>和管理。</w:t>
      </w:r>
      <w:r>
        <w:rPr>
          <w:rFonts w:cs="Times New Roman" w:asciiTheme="minorEastAsia" w:hAnsiTheme="minorEastAsia"/>
          <w:szCs w:val="21"/>
        </w:rPr>
        <w:t>能熟练地阅读本专业的外文资料，具有一定的</w:t>
      </w:r>
      <w:r>
        <w:rPr>
          <w:rFonts w:hint="eastAsia" w:cs="Times New Roman" w:asciiTheme="minorEastAsia" w:hAnsiTheme="minorEastAsia"/>
          <w:szCs w:val="21"/>
        </w:rPr>
        <w:t>外</w:t>
      </w:r>
      <w:r>
        <w:rPr>
          <w:rFonts w:cs="Times New Roman" w:asciiTheme="minorEastAsia" w:hAnsiTheme="minorEastAsia"/>
          <w:szCs w:val="21"/>
        </w:rPr>
        <w:t>文写作和口语交际能力</w:t>
      </w:r>
      <w:r>
        <w:rPr>
          <w:rFonts w:hint="eastAsia" w:cs="Times New Roman" w:asciiTheme="minorEastAsia" w:hAnsiTheme="minorEastAsia"/>
          <w:szCs w:val="21"/>
        </w:rPr>
        <w:t>。</w:t>
      </w:r>
      <w:r>
        <w:rPr>
          <w:rFonts w:cs="Times New Roman" w:asciiTheme="minorEastAsia" w:hAnsiTheme="minorEastAsia"/>
          <w:szCs w:val="21"/>
        </w:rPr>
        <w:t>具有一定</w:t>
      </w:r>
      <w:r>
        <w:rPr>
          <w:rFonts w:hint="eastAsia" w:cs="Times New Roman" w:asciiTheme="minorEastAsia" w:hAnsiTheme="minorEastAsia"/>
          <w:szCs w:val="21"/>
        </w:rPr>
        <w:t>的人文社会科学</w:t>
      </w:r>
      <w:r>
        <w:rPr>
          <w:rFonts w:cs="Times New Roman" w:asciiTheme="minorEastAsia" w:hAnsiTheme="minorEastAsia"/>
          <w:szCs w:val="21"/>
        </w:rPr>
        <w:t>基本知识。</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3. 具</w:t>
      </w:r>
      <w:r>
        <w:rPr>
          <w:rFonts w:hint="eastAsia" w:cs="Times New Roman" w:asciiTheme="minorEastAsia" w:hAnsiTheme="minorEastAsia"/>
          <w:szCs w:val="21"/>
        </w:rPr>
        <w:t>备</w:t>
      </w:r>
      <w:r>
        <w:rPr>
          <w:rFonts w:cs="Times New Roman" w:asciiTheme="minorEastAsia" w:hAnsiTheme="minorEastAsia"/>
          <w:szCs w:val="21"/>
        </w:rPr>
        <w:t>主动获取知识的意识</w:t>
      </w:r>
      <w:r>
        <w:rPr>
          <w:rFonts w:hint="eastAsia" w:cs="Times New Roman" w:asciiTheme="minorEastAsia" w:hAnsiTheme="minorEastAsia"/>
          <w:szCs w:val="21"/>
        </w:rPr>
        <w:t>和能力</w:t>
      </w:r>
      <w:r>
        <w:rPr>
          <w:rFonts w:cs="Times New Roman" w:asciiTheme="minorEastAsia" w:hAnsiTheme="minorEastAsia"/>
          <w:szCs w:val="21"/>
        </w:rPr>
        <w:t>，</w:t>
      </w:r>
      <w:r>
        <w:rPr>
          <w:rFonts w:hint="eastAsia" w:cs="Times New Roman" w:asciiTheme="minorEastAsia" w:hAnsiTheme="minorEastAsia"/>
          <w:szCs w:val="21"/>
        </w:rPr>
        <w:t>能</w:t>
      </w:r>
      <w:r>
        <w:rPr>
          <w:rFonts w:cs="Times New Roman" w:asciiTheme="minorEastAsia" w:hAnsiTheme="minorEastAsia"/>
          <w:szCs w:val="21"/>
        </w:rPr>
        <w:t>综合运用</w:t>
      </w:r>
      <w:r>
        <w:rPr>
          <w:rFonts w:hint="eastAsia" w:cs="Times New Roman" w:asciiTheme="minorEastAsia" w:hAnsiTheme="minorEastAsia"/>
          <w:szCs w:val="21"/>
        </w:rPr>
        <w:t>生物学</w:t>
      </w:r>
      <w:r>
        <w:rPr>
          <w:rFonts w:cs="Times New Roman" w:asciiTheme="minorEastAsia" w:hAnsiTheme="minorEastAsia"/>
          <w:szCs w:val="21"/>
        </w:rPr>
        <w:t>理论知识和研究</w:t>
      </w:r>
      <w:r>
        <w:rPr>
          <w:rFonts w:hint="eastAsia" w:cs="Times New Roman" w:asciiTheme="minorEastAsia" w:hAnsiTheme="minorEastAsia"/>
          <w:szCs w:val="21"/>
        </w:rPr>
        <w:t>手段</w:t>
      </w:r>
      <w:r>
        <w:rPr>
          <w:rFonts w:cs="Times New Roman" w:asciiTheme="minorEastAsia" w:hAnsiTheme="minorEastAsia"/>
          <w:szCs w:val="21"/>
        </w:rPr>
        <w:t>，开展科学研究</w:t>
      </w:r>
      <w:r>
        <w:rPr>
          <w:rFonts w:hint="eastAsia" w:cs="Times New Roman" w:asciiTheme="minorEastAsia" w:hAnsiTheme="minorEastAsia"/>
          <w:szCs w:val="21"/>
        </w:rPr>
        <w:t>。</w:t>
      </w:r>
      <w:r>
        <w:rPr>
          <w:rFonts w:cs="Times New Roman" w:asciiTheme="minorEastAsia" w:hAnsiTheme="minorEastAsia"/>
          <w:szCs w:val="21"/>
        </w:rPr>
        <w:t>具有</w:t>
      </w:r>
      <w:r>
        <w:rPr>
          <w:rFonts w:hint="eastAsia" w:cs="Times New Roman" w:asciiTheme="minorEastAsia" w:hAnsiTheme="minorEastAsia"/>
          <w:szCs w:val="21"/>
        </w:rPr>
        <w:t>科学</w:t>
      </w:r>
      <w:r>
        <w:rPr>
          <w:rFonts w:cs="Times New Roman" w:asciiTheme="minorEastAsia" w:hAnsiTheme="minorEastAsia"/>
          <w:szCs w:val="21"/>
        </w:rPr>
        <w:t>逻辑思维</w:t>
      </w:r>
      <w:r>
        <w:rPr>
          <w:rFonts w:hint="eastAsia" w:cs="Times New Roman" w:asciiTheme="minorEastAsia" w:hAnsiTheme="minorEastAsia"/>
          <w:szCs w:val="21"/>
        </w:rPr>
        <w:t>、批判思维和较高</w:t>
      </w:r>
      <w:r>
        <w:rPr>
          <w:rFonts w:cs="Times New Roman" w:asciiTheme="minorEastAsia" w:hAnsiTheme="minorEastAsia"/>
          <w:szCs w:val="21"/>
        </w:rPr>
        <w:t>的创新能力，能够独立从事生物学及相关领域科学研究工作</w:t>
      </w:r>
      <w:r>
        <w:rPr>
          <w:rFonts w:hint="eastAsia" w:cs="Times New Roman" w:asciiTheme="minorEastAsia" w:hAnsiTheme="minorEastAsia"/>
          <w:szCs w:val="21"/>
        </w:rPr>
        <w:t>。</w:t>
      </w:r>
      <w:r>
        <w:rPr>
          <w:rFonts w:cs="Times New Roman" w:asciiTheme="minorEastAsia" w:hAnsiTheme="minorEastAsia"/>
          <w:szCs w:val="21"/>
        </w:rPr>
        <w:t>具有较</w:t>
      </w:r>
      <w:r>
        <w:rPr>
          <w:rFonts w:hint="eastAsia" w:cs="Times New Roman" w:asciiTheme="minorEastAsia" w:hAnsiTheme="minorEastAsia"/>
          <w:szCs w:val="21"/>
        </w:rPr>
        <w:t>强</w:t>
      </w:r>
      <w:r>
        <w:rPr>
          <w:rFonts w:cs="Times New Roman" w:asciiTheme="minorEastAsia" w:hAnsiTheme="minorEastAsia"/>
          <w:szCs w:val="21"/>
        </w:rPr>
        <w:t>的语言</w:t>
      </w:r>
      <w:r>
        <w:rPr>
          <w:rFonts w:hint="eastAsia" w:cs="Times New Roman" w:asciiTheme="minorEastAsia" w:hAnsiTheme="minorEastAsia"/>
          <w:szCs w:val="21"/>
        </w:rPr>
        <w:t>交流</w:t>
      </w:r>
      <w:r>
        <w:rPr>
          <w:rFonts w:cs="Times New Roman" w:asciiTheme="minorEastAsia" w:hAnsiTheme="minorEastAsia"/>
          <w:szCs w:val="21"/>
        </w:rPr>
        <w:t>和文字表达能力</w:t>
      </w:r>
      <w:r>
        <w:rPr>
          <w:rFonts w:hint="eastAsia" w:cs="Times New Roman" w:asciiTheme="minorEastAsia" w:hAnsiTheme="minorEastAsia"/>
          <w:szCs w:val="21"/>
        </w:rPr>
        <w:t>。</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4</w:t>
      </w:r>
      <w:r>
        <w:rPr>
          <w:rFonts w:hint="eastAsia" w:cs="Times New Roman" w:asciiTheme="minorEastAsia" w:hAnsiTheme="minorEastAsia"/>
          <w:szCs w:val="21"/>
        </w:rPr>
        <w:t>.</w:t>
      </w:r>
      <w:r>
        <w:rPr>
          <w:rFonts w:cs="Times New Roman" w:asciiTheme="minorEastAsia" w:hAnsiTheme="minorEastAsia"/>
          <w:szCs w:val="21"/>
        </w:rPr>
        <w:t xml:space="preserve"> 具有强烈的社会责任感和良好的团队合作</w:t>
      </w:r>
      <w:r>
        <w:rPr>
          <w:rFonts w:hint="eastAsia" w:cs="Times New Roman" w:asciiTheme="minorEastAsia" w:hAnsiTheme="minorEastAsia"/>
          <w:szCs w:val="21"/>
        </w:rPr>
        <w:t>精神。</w:t>
      </w:r>
      <w:r>
        <w:rPr>
          <w:rFonts w:cs="Times New Roman" w:asciiTheme="minorEastAsia" w:hAnsiTheme="minorEastAsia"/>
          <w:szCs w:val="21"/>
        </w:rPr>
        <w:t>能够运用</w:t>
      </w:r>
      <w:r>
        <w:rPr>
          <w:rFonts w:hint="eastAsia" w:cs="Times New Roman" w:asciiTheme="minorEastAsia" w:hAnsiTheme="minorEastAsia"/>
          <w:szCs w:val="21"/>
        </w:rPr>
        <w:t>其他学科的前沿</w:t>
      </w:r>
      <w:r>
        <w:rPr>
          <w:rFonts w:cs="Times New Roman" w:asciiTheme="minorEastAsia" w:hAnsiTheme="minorEastAsia"/>
          <w:szCs w:val="21"/>
        </w:rPr>
        <w:t>知识和</w:t>
      </w:r>
      <w:r>
        <w:rPr>
          <w:rFonts w:hint="eastAsia" w:cs="Times New Roman" w:asciiTheme="minorEastAsia" w:hAnsiTheme="minorEastAsia"/>
          <w:szCs w:val="21"/>
        </w:rPr>
        <w:t>先进技术，</w:t>
      </w:r>
      <w:r>
        <w:rPr>
          <w:rFonts w:cs="Times New Roman" w:asciiTheme="minorEastAsia" w:hAnsiTheme="minorEastAsia"/>
          <w:szCs w:val="21"/>
        </w:rPr>
        <w:t>开展</w:t>
      </w:r>
      <w:r>
        <w:rPr>
          <w:rFonts w:hint="eastAsia" w:cs="Times New Roman" w:asciiTheme="minorEastAsia" w:hAnsiTheme="minorEastAsia"/>
          <w:szCs w:val="21"/>
        </w:rPr>
        <w:t>交叉融合性的</w:t>
      </w:r>
      <w:r>
        <w:rPr>
          <w:rFonts w:cs="Times New Roman" w:asciiTheme="minorEastAsia" w:hAnsiTheme="minorEastAsia"/>
          <w:szCs w:val="21"/>
        </w:rPr>
        <w:t>科学研究</w:t>
      </w:r>
      <w:r>
        <w:rPr>
          <w:rFonts w:hint="eastAsia" w:cs="Times New Roman" w:asciiTheme="minorEastAsia" w:hAnsiTheme="minorEastAsia"/>
          <w:szCs w:val="21"/>
        </w:rPr>
        <w:t>。</w:t>
      </w:r>
      <w:r>
        <w:rPr>
          <w:rFonts w:cs="Times New Roman" w:asciiTheme="minorEastAsia" w:hAnsiTheme="minorEastAsia"/>
          <w:szCs w:val="21"/>
        </w:rPr>
        <w:t>具有较强管理沟通能力，能够有效</w:t>
      </w:r>
      <w:r>
        <w:rPr>
          <w:rFonts w:hint="eastAsia" w:cs="Times New Roman" w:asciiTheme="minorEastAsia" w:hAnsiTheme="minorEastAsia"/>
          <w:szCs w:val="21"/>
        </w:rPr>
        <w:t>利用</w:t>
      </w:r>
      <w:r>
        <w:rPr>
          <w:rFonts w:cs="Times New Roman" w:asciiTheme="minorEastAsia" w:hAnsiTheme="minorEastAsia"/>
          <w:szCs w:val="21"/>
        </w:rPr>
        <w:t>各种资源</w:t>
      </w:r>
      <w:r>
        <w:rPr>
          <w:rFonts w:hint="eastAsia" w:cs="Times New Roman" w:asciiTheme="minorEastAsia" w:hAnsiTheme="minorEastAsia"/>
          <w:szCs w:val="21"/>
        </w:rPr>
        <w:t>提高工</w:t>
      </w:r>
      <w:r>
        <w:rPr>
          <w:rFonts w:cs="Times New Roman" w:asciiTheme="minorEastAsia" w:hAnsiTheme="minorEastAsia"/>
          <w:szCs w:val="21"/>
        </w:rPr>
        <w:t>作效率。</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80" w:firstLineChars="200"/>
        <w:textAlignment w:val="auto"/>
        <w:rPr>
          <w:rFonts w:ascii="黑体" w:hAnsi="黑体" w:eastAsia="黑体"/>
          <w:sz w:val="24"/>
          <w:szCs w:val="24"/>
        </w:rPr>
      </w:pPr>
      <w:r>
        <w:rPr>
          <w:rFonts w:ascii="黑体" w:hAnsi="黑体" w:eastAsia="黑体"/>
          <w:sz w:val="24"/>
          <w:szCs w:val="24"/>
        </w:rPr>
        <w:t>二、研究方向</w:t>
      </w:r>
      <w:bookmarkEnd w:id="368"/>
      <w:bookmarkEnd w:id="369"/>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cs="Times New Roman"/>
          <w:szCs w:val="21"/>
        </w:rPr>
      </w:pPr>
      <w:r>
        <w:rPr>
          <w:rFonts w:ascii="Times New Roman" w:hAnsi="Times New Roman" w:cs="Times New Roman"/>
          <w:szCs w:val="21"/>
        </w:rPr>
        <w:t>1</w:t>
      </w:r>
      <w:r>
        <w:rPr>
          <w:rFonts w:ascii="Times New Roman" w:hAnsi="Times New Roman" w:eastAsia="宋体" w:cs="Times New Roman"/>
          <w:szCs w:val="21"/>
        </w:rPr>
        <w:t>．</w:t>
      </w:r>
      <w:r>
        <w:rPr>
          <w:rFonts w:ascii="Times New Roman" w:hAnsi="Times New Roman" w:cs="Times New Roman"/>
          <w:szCs w:val="21"/>
        </w:rPr>
        <w:t>生理学</w:t>
      </w:r>
      <w:r>
        <w:rPr>
          <w:rFonts w:hint="eastAsia" w:ascii="Times New Roman" w:hAnsi="Times New Roman" w:cs="Times New Roman"/>
          <w:szCs w:val="21"/>
        </w:rPr>
        <w:t>；</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cs="Times New Roman"/>
          <w:szCs w:val="21"/>
        </w:rPr>
      </w:pPr>
      <w:r>
        <w:rPr>
          <w:rFonts w:ascii="Times New Roman" w:hAnsi="Times New Roman" w:cs="Times New Roman"/>
          <w:szCs w:val="21"/>
        </w:rPr>
        <w:t>2</w:t>
      </w:r>
      <w:r>
        <w:rPr>
          <w:rFonts w:ascii="Times New Roman" w:hAnsi="Times New Roman" w:eastAsia="宋体" w:cs="Times New Roman"/>
          <w:szCs w:val="21"/>
        </w:rPr>
        <w:t>．</w:t>
      </w:r>
      <w:r>
        <w:rPr>
          <w:rFonts w:ascii="Times New Roman" w:hAnsi="Times New Roman" w:cs="Times New Roman"/>
          <w:szCs w:val="21"/>
        </w:rPr>
        <w:t>神经生物学</w:t>
      </w:r>
      <w:r>
        <w:rPr>
          <w:rFonts w:hint="eastAsia" w:ascii="Times New Roman" w:hAnsi="Times New Roman" w:cs="Times New Roman"/>
          <w:szCs w:val="21"/>
        </w:rPr>
        <w:t>；</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cs="Times New Roman"/>
          <w:szCs w:val="21"/>
        </w:rPr>
      </w:pPr>
      <w:r>
        <w:rPr>
          <w:rFonts w:ascii="Times New Roman" w:hAnsi="Times New Roman" w:cs="Times New Roman"/>
          <w:szCs w:val="21"/>
        </w:rPr>
        <w:t>3</w:t>
      </w:r>
      <w:r>
        <w:rPr>
          <w:rFonts w:ascii="Times New Roman" w:hAnsi="Times New Roman" w:eastAsia="宋体" w:cs="Times New Roman"/>
          <w:szCs w:val="21"/>
        </w:rPr>
        <w:t>．</w:t>
      </w:r>
      <w:r>
        <w:rPr>
          <w:rFonts w:ascii="Times New Roman" w:hAnsi="Times New Roman" w:cs="Times New Roman"/>
          <w:szCs w:val="21"/>
        </w:rPr>
        <w:t>遗传学</w:t>
      </w:r>
      <w:r>
        <w:rPr>
          <w:rFonts w:hint="eastAsia" w:ascii="Times New Roman" w:hAnsi="Times New Roman" w:cs="Times New Roman"/>
          <w:szCs w:val="21"/>
        </w:rPr>
        <w:t>；</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cs="Times New Roman"/>
          <w:szCs w:val="21"/>
        </w:rPr>
      </w:pPr>
      <w:r>
        <w:rPr>
          <w:rFonts w:ascii="Times New Roman" w:hAnsi="Times New Roman" w:cs="Times New Roman"/>
          <w:szCs w:val="21"/>
        </w:rPr>
        <w:t>4</w:t>
      </w:r>
      <w:r>
        <w:rPr>
          <w:rFonts w:ascii="Times New Roman" w:hAnsi="Times New Roman" w:eastAsia="宋体" w:cs="Times New Roman"/>
          <w:szCs w:val="21"/>
        </w:rPr>
        <w:t>．</w:t>
      </w:r>
      <w:r>
        <w:rPr>
          <w:rFonts w:ascii="Times New Roman" w:hAnsi="Times New Roman" w:cs="Times New Roman"/>
          <w:szCs w:val="21"/>
        </w:rPr>
        <w:t>细胞生物学</w:t>
      </w:r>
      <w:r>
        <w:rPr>
          <w:rFonts w:hint="eastAsia" w:ascii="Times New Roman" w:hAnsi="Times New Roman" w:cs="Times New Roman"/>
          <w:szCs w:val="21"/>
        </w:rPr>
        <w:t>；</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cs="Times New Roman"/>
          <w:szCs w:val="21"/>
        </w:rPr>
      </w:pPr>
      <w:r>
        <w:rPr>
          <w:rFonts w:ascii="Times New Roman" w:hAnsi="Times New Roman" w:cs="Times New Roman"/>
          <w:szCs w:val="21"/>
        </w:rPr>
        <w:t>5</w:t>
      </w:r>
      <w:r>
        <w:rPr>
          <w:rFonts w:ascii="Times New Roman" w:hAnsi="Times New Roman" w:eastAsia="宋体" w:cs="Times New Roman"/>
          <w:szCs w:val="21"/>
        </w:rPr>
        <w:t>．</w:t>
      </w:r>
      <w:r>
        <w:rPr>
          <w:rFonts w:ascii="Times New Roman" w:hAnsi="Times New Roman" w:cs="Times New Roman"/>
          <w:szCs w:val="21"/>
        </w:rPr>
        <w:t>生物化学与分子生物学</w:t>
      </w:r>
      <w:r>
        <w:rPr>
          <w:rFonts w:hint="eastAsia" w:ascii="Times New Roman" w:hAnsi="Times New Roman" w:cs="Times New Roman"/>
          <w:szCs w:val="21"/>
        </w:rPr>
        <w:t>；</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6</w:t>
      </w:r>
      <w:r>
        <w:rPr>
          <w:rFonts w:ascii="Times New Roman" w:hAnsi="Times New Roman" w:eastAsia="宋体" w:cs="Times New Roman"/>
          <w:szCs w:val="21"/>
        </w:rPr>
        <w:t>．</w:t>
      </w:r>
      <w:r>
        <w:rPr>
          <w:rFonts w:ascii="Times New Roman" w:hAnsi="Times New Roman" w:cs="Times New Roman"/>
          <w:szCs w:val="21"/>
        </w:rPr>
        <w:t>生物</w:t>
      </w:r>
      <w:r>
        <w:rPr>
          <w:rFonts w:cs="Times New Roman" w:asciiTheme="minorEastAsia" w:hAnsiTheme="minorEastAsia"/>
          <w:szCs w:val="21"/>
        </w:rPr>
        <w:t>物理学</w:t>
      </w:r>
      <w:r>
        <w:rPr>
          <w:rFonts w:hint="eastAsia" w:cs="Times New Roman" w:asciiTheme="minorEastAsia" w:hAnsiTheme="minorEastAsia"/>
          <w:szCs w:val="21"/>
        </w:rPr>
        <w:t>；</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7．智能医学工程</w:t>
      </w:r>
      <w:r>
        <w:rPr>
          <w:rFonts w:hint="eastAsia" w:ascii="Times New Roman" w:hAnsi="Times New Roman" w:eastAsia="宋体" w:cs="Times New Roman"/>
          <w:szCs w:val="21"/>
        </w:rPr>
        <w:t>(交叉)</w:t>
      </w:r>
      <w:r>
        <w:rPr>
          <w:rFonts w:hint="eastAsia" w:cs="Times New Roman" w:asciiTheme="minorEastAsia" w:hAnsiTheme="minorEastAsia"/>
          <w:szCs w:val="21"/>
        </w:rPr>
        <w:t>。</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80" w:firstLineChars="200"/>
        <w:textAlignment w:val="auto"/>
        <w:rPr>
          <w:rFonts w:ascii="黑体" w:hAnsi="黑体" w:eastAsia="黑体"/>
          <w:sz w:val="24"/>
          <w:szCs w:val="24"/>
        </w:rPr>
      </w:pPr>
      <w:bookmarkStart w:id="370" w:name="_Toc520822651"/>
      <w:bookmarkStart w:id="371" w:name="_Toc519846431"/>
      <w:r>
        <w:rPr>
          <w:rFonts w:ascii="黑体" w:hAnsi="黑体" w:eastAsia="黑体"/>
          <w:sz w:val="24"/>
          <w:szCs w:val="24"/>
        </w:rPr>
        <w:t>三、学习年限</w:t>
      </w:r>
      <w:bookmarkEnd w:id="370"/>
      <w:bookmarkEnd w:id="371"/>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以硕</w:t>
      </w:r>
      <w:r>
        <w:rPr>
          <w:rFonts w:cs="Times New Roman" w:asciiTheme="minorEastAsia" w:hAnsiTheme="minorEastAsia"/>
          <w:spacing w:val="-4"/>
          <w:szCs w:val="21"/>
        </w:rPr>
        <w:t>博连读方式进入贯通式培养体系的学生（以下简称</w:t>
      </w:r>
      <w:r>
        <w:rPr>
          <w:rFonts w:hint="eastAsia" w:cs="Times New Roman" w:asciiTheme="minorEastAsia" w:hAnsiTheme="minorEastAsia"/>
          <w:spacing w:val="-4"/>
          <w:szCs w:val="21"/>
        </w:rPr>
        <w:t>“</w:t>
      </w:r>
      <w:r>
        <w:rPr>
          <w:rFonts w:cs="Times New Roman" w:asciiTheme="minorEastAsia" w:hAnsiTheme="minorEastAsia"/>
          <w:spacing w:val="-4"/>
          <w:szCs w:val="21"/>
        </w:rPr>
        <w:t>硕博连读生</w:t>
      </w:r>
      <w:r>
        <w:rPr>
          <w:rFonts w:hint="eastAsia" w:cs="Times New Roman" w:asciiTheme="minorEastAsia" w:hAnsiTheme="minorEastAsia"/>
          <w:spacing w:val="-4"/>
          <w:szCs w:val="21"/>
        </w:rPr>
        <w:t>”</w:t>
      </w:r>
      <w:r>
        <w:rPr>
          <w:rFonts w:cs="Times New Roman" w:asciiTheme="minorEastAsia" w:hAnsiTheme="minorEastAsia"/>
          <w:spacing w:val="-4"/>
          <w:szCs w:val="21"/>
        </w:rPr>
        <w:t>），在博士培养阶段的学习年限为</w:t>
      </w:r>
      <w:r>
        <w:rPr>
          <w:rFonts w:ascii="Times New Roman" w:hAnsi="Times New Roman" w:cs="Times New Roman"/>
          <w:spacing w:val="-4"/>
          <w:szCs w:val="21"/>
        </w:rPr>
        <w:t>3-5</w:t>
      </w:r>
      <w:r>
        <w:rPr>
          <w:rFonts w:cs="Times New Roman" w:asciiTheme="minorEastAsia" w:hAnsiTheme="minorEastAsia"/>
          <w:spacing w:val="-4"/>
          <w:szCs w:val="21"/>
        </w:rPr>
        <w:t>年；以直攻博方式进入贯通式培养体系的学生（以下简称</w:t>
      </w:r>
      <w:r>
        <w:rPr>
          <w:rFonts w:hint="eastAsia" w:cs="Times New Roman" w:asciiTheme="minorEastAsia" w:hAnsiTheme="minorEastAsia"/>
          <w:spacing w:val="-4"/>
          <w:szCs w:val="21"/>
        </w:rPr>
        <w:t>“</w:t>
      </w:r>
      <w:r>
        <w:rPr>
          <w:rFonts w:cs="Times New Roman" w:asciiTheme="minorEastAsia" w:hAnsiTheme="minorEastAsia"/>
          <w:spacing w:val="-4"/>
          <w:szCs w:val="21"/>
        </w:rPr>
        <w:t>直博生</w:t>
      </w:r>
      <w:r>
        <w:rPr>
          <w:rFonts w:hint="eastAsia" w:cs="Times New Roman" w:asciiTheme="minorEastAsia" w:hAnsiTheme="minorEastAsia"/>
          <w:spacing w:val="-4"/>
          <w:szCs w:val="21"/>
        </w:rPr>
        <w:t>”</w:t>
      </w:r>
      <w:r>
        <w:rPr>
          <w:rFonts w:cs="Times New Roman" w:asciiTheme="minorEastAsia" w:hAnsiTheme="minorEastAsia"/>
          <w:spacing w:val="-4"/>
          <w:szCs w:val="21"/>
        </w:rPr>
        <w:t>），学习年限为</w:t>
      </w:r>
      <w:r>
        <w:rPr>
          <w:rFonts w:ascii="Times New Roman" w:hAnsi="Times New Roman" w:cs="Times New Roman"/>
          <w:spacing w:val="-4"/>
          <w:szCs w:val="21"/>
        </w:rPr>
        <w:t>4-6</w:t>
      </w:r>
      <w:r>
        <w:rPr>
          <w:rFonts w:cs="Times New Roman" w:asciiTheme="minorEastAsia" w:hAnsiTheme="minorEastAsia"/>
          <w:spacing w:val="-4"/>
          <w:szCs w:val="21"/>
        </w:rPr>
        <w:t>年。</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80" w:firstLineChars="200"/>
        <w:textAlignment w:val="auto"/>
        <w:rPr>
          <w:rFonts w:ascii="黑体" w:hAnsi="黑体" w:eastAsia="黑体"/>
          <w:sz w:val="24"/>
          <w:szCs w:val="24"/>
        </w:rPr>
      </w:pPr>
      <w:bookmarkStart w:id="372" w:name="_Toc520822652"/>
      <w:bookmarkStart w:id="373" w:name="_Toc519846432"/>
      <w:r>
        <w:rPr>
          <w:rFonts w:ascii="黑体" w:hAnsi="黑体" w:eastAsia="黑体"/>
          <w:sz w:val="24"/>
          <w:szCs w:val="24"/>
        </w:rPr>
        <w:t>四、培养方式</w:t>
      </w:r>
      <w:bookmarkEnd w:id="372"/>
      <w:bookmarkEnd w:id="373"/>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以立德树人为根本任务，实现硕博贯通的培养方式，具体的培养方式是：</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1</w:t>
      </w:r>
      <w:r>
        <w:rPr>
          <w:rFonts w:ascii="Times New Roman" w:hAnsi="Times New Roman" w:eastAsia="宋体" w:cs="Times New Roman"/>
          <w:szCs w:val="21"/>
        </w:rPr>
        <w:t>．</w:t>
      </w:r>
      <w:r>
        <w:rPr>
          <w:rFonts w:cs="Times New Roman" w:asciiTheme="minorEastAsia" w:hAnsiTheme="minorEastAsia"/>
          <w:szCs w:val="21"/>
        </w:rPr>
        <w:t>导师小组联合指导，导师负责制。各系、中心应成立以博士生导师为</w:t>
      </w:r>
      <w:r>
        <w:rPr>
          <w:rFonts w:ascii="Times New Roman" w:hAnsi="Times New Roman" w:cs="Times New Roman"/>
          <w:szCs w:val="21"/>
        </w:rPr>
        <w:t>主5</w:t>
      </w:r>
      <w:r>
        <w:rPr>
          <w:rFonts w:cs="Times New Roman" w:asciiTheme="minorEastAsia" w:hAnsiTheme="minorEastAsia"/>
          <w:szCs w:val="21"/>
        </w:rPr>
        <w:t>人指导小组及课题小组的有关成员，按照</w:t>
      </w:r>
      <w:r>
        <w:rPr>
          <w:rFonts w:cs="Times New Roman" w:asciiTheme="minorEastAsia" w:hAnsiTheme="minorEastAsia"/>
          <w:kern w:val="0"/>
          <w:szCs w:val="21"/>
        </w:rPr>
        <w:t>硕博连读生</w:t>
      </w:r>
      <w:r>
        <w:rPr>
          <w:rFonts w:cs="Times New Roman" w:asciiTheme="minorEastAsia" w:hAnsiTheme="minorEastAsia"/>
          <w:szCs w:val="21"/>
        </w:rPr>
        <w:t>培养计划的要求，制订培养计划。共同协助搞好贯通式研究生的培养工作。</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2</w:t>
      </w:r>
      <w:r>
        <w:rPr>
          <w:rFonts w:ascii="Times New Roman" w:hAnsi="Times New Roman" w:eastAsia="宋体" w:cs="Times New Roman"/>
          <w:szCs w:val="21"/>
        </w:rPr>
        <w:t>．</w:t>
      </w:r>
      <w:r>
        <w:rPr>
          <w:rFonts w:cs="Times New Roman" w:asciiTheme="minorEastAsia" w:hAnsiTheme="minorEastAsia"/>
          <w:szCs w:val="21"/>
        </w:rPr>
        <w:t>课程学习要满足需要的学分；课程包括本专业的基础和前沿课程和开展自己研究工作的必要知识和技术，可采用上课、学术报告、国际交流、讨论等方式。</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3</w:t>
      </w:r>
      <w:r>
        <w:rPr>
          <w:rFonts w:ascii="Times New Roman" w:hAnsi="Times New Roman" w:eastAsia="宋体" w:cs="Times New Roman"/>
          <w:szCs w:val="21"/>
        </w:rPr>
        <w:t>．</w:t>
      </w:r>
      <w:r>
        <w:rPr>
          <w:rFonts w:cs="Times New Roman" w:asciiTheme="minorEastAsia" w:hAnsiTheme="minorEastAsia"/>
          <w:szCs w:val="21"/>
        </w:rPr>
        <w:t>积极鼓励学生参加会议、讲座等，展丰富多彩的科研活动，营造浓郁的科研氛围，提升学生的科研兴趣，增强学生解决重大科学问题的动力。</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4</w:t>
      </w:r>
      <w:r>
        <w:rPr>
          <w:rFonts w:ascii="Times New Roman" w:hAnsi="Times New Roman" w:eastAsia="宋体" w:cs="Times New Roman"/>
          <w:szCs w:val="21"/>
        </w:rPr>
        <w:t>．</w:t>
      </w:r>
      <w:r>
        <w:rPr>
          <w:rFonts w:cs="Times New Roman" w:asciiTheme="minorEastAsia" w:hAnsiTheme="minorEastAsia"/>
          <w:szCs w:val="21"/>
        </w:rPr>
        <w:t>通过课题组、院系的科研汇报会、文献阅读会、小组讨论会，个别指导等形式，逐步强化学生的科研创新能力。</w:t>
      </w:r>
    </w:p>
    <w:p>
      <w:pPr>
        <w:keepNext w:val="0"/>
        <w:keepLines w:val="0"/>
        <w:pageBreakBefore w:val="0"/>
        <w:widowControl w:val="0"/>
        <w:tabs>
          <w:tab w:val="left" w:pos="3900"/>
        </w:tabs>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5</w:t>
      </w:r>
      <w:r>
        <w:rPr>
          <w:rFonts w:ascii="Times New Roman" w:hAnsi="Times New Roman" w:eastAsia="宋体" w:cs="Times New Roman"/>
          <w:szCs w:val="21"/>
        </w:rPr>
        <w:t>．</w:t>
      </w:r>
      <w:r>
        <w:rPr>
          <w:rFonts w:cs="Times New Roman" w:asciiTheme="minorEastAsia" w:hAnsiTheme="minorEastAsia"/>
          <w:szCs w:val="21"/>
        </w:rPr>
        <w:t>加强培养期间的过程管理，第一学年学习专业基础理论，掌握进行科研所必需的基本技能并写出文献综述。从第二年开始在导师指导下进入课题研究和学位论文准备阶段。硕博连读生，硕士阶段第二学年内完成博士资格考核，在进入博士阶段第二学年起至第三学年末完成博士中期考核；直博生，第二学年内完成博士资格审核，自第三学年起至第四学年末完成博士中期考核。</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80" w:firstLineChars="200"/>
        <w:textAlignment w:val="auto"/>
        <w:rPr>
          <w:rFonts w:ascii="黑体" w:hAnsi="黑体" w:eastAsia="黑体"/>
          <w:sz w:val="24"/>
          <w:szCs w:val="24"/>
        </w:rPr>
      </w:pPr>
      <w:bookmarkStart w:id="374" w:name="_Toc519846433"/>
      <w:bookmarkStart w:id="375" w:name="_Toc520822653"/>
      <w:r>
        <w:rPr>
          <w:rFonts w:ascii="黑体" w:hAnsi="黑体" w:eastAsia="黑体"/>
          <w:sz w:val="24"/>
          <w:szCs w:val="24"/>
        </w:rPr>
        <w:t>五、课程学习及学分设置</w:t>
      </w:r>
      <w:bookmarkEnd w:id="374"/>
      <w:bookmarkEnd w:id="375"/>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本学科学术型硕博贯通式培养方案共需修满4</w:t>
      </w:r>
      <w:r>
        <w:rPr>
          <w:rFonts w:cs="Times New Roman" w:asciiTheme="minorEastAsia" w:hAnsiTheme="minorEastAsia"/>
          <w:szCs w:val="21"/>
        </w:rPr>
        <w:t>2</w:t>
      </w:r>
      <w:r>
        <w:rPr>
          <w:rFonts w:hint="eastAsia" w:cs="Times New Roman" w:asciiTheme="minorEastAsia" w:hAnsiTheme="minorEastAsia"/>
          <w:szCs w:val="21"/>
        </w:rPr>
        <w:t>学分，其中课程学习25学分，必修环节</w:t>
      </w:r>
      <w:r>
        <w:rPr>
          <w:rFonts w:cs="Times New Roman" w:asciiTheme="minorEastAsia" w:hAnsiTheme="minorEastAsia"/>
          <w:szCs w:val="21"/>
        </w:rPr>
        <w:t>17学分</w:t>
      </w:r>
      <w:r>
        <w:rPr>
          <w:rFonts w:hint="eastAsia" w:cs="Times New Roman" w:asciiTheme="minorEastAsia" w:hAnsiTheme="minorEastAsia"/>
          <w:szCs w:val="21"/>
        </w:rPr>
        <w:t>。</w:t>
      </w:r>
      <w:r>
        <w:rPr>
          <w:rFonts w:cs="Times New Roman" w:asciiTheme="minorEastAsia" w:hAnsiTheme="minorEastAsia"/>
          <w:szCs w:val="21"/>
        </w:rPr>
        <w:t>课程学习包括：学位课1</w:t>
      </w:r>
      <w:r>
        <w:rPr>
          <w:rFonts w:hint="eastAsia" w:cs="Times New Roman" w:asciiTheme="minorEastAsia" w:hAnsiTheme="minorEastAsia"/>
          <w:szCs w:val="21"/>
        </w:rPr>
        <w:t>7</w:t>
      </w:r>
      <w:r>
        <w:rPr>
          <w:rFonts w:cs="Times New Roman" w:asciiTheme="minorEastAsia" w:hAnsiTheme="minorEastAsia"/>
          <w:szCs w:val="21"/>
        </w:rPr>
        <w:t>学分，选修课</w:t>
      </w:r>
      <w:r>
        <w:rPr>
          <w:rFonts w:hint="eastAsia" w:cs="Times New Roman" w:asciiTheme="minorEastAsia" w:hAnsiTheme="minorEastAsia"/>
          <w:szCs w:val="21"/>
        </w:rPr>
        <w:t>8</w:t>
      </w:r>
      <w:r>
        <w:rPr>
          <w:rFonts w:cs="Times New Roman" w:asciiTheme="minorEastAsia" w:hAnsiTheme="minorEastAsia"/>
          <w:szCs w:val="21"/>
        </w:rPr>
        <w:t>学分。学位课包括公共学位课7学分（思政课</w:t>
      </w:r>
      <w:r>
        <w:rPr>
          <w:rFonts w:hint="eastAsia" w:cs="Times New Roman" w:asciiTheme="minorEastAsia" w:hAnsiTheme="minorEastAsia"/>
          <w:szCs w:val="21"/>
        </w:rPr>
        <w:t>5</w:t>
      </w:r>
      <w:r>
        <w:rPr>
          <w:rFonts w:cs="Times New Roman" w:asciiTheme="minorEastAsia" w:hAnsiTheme="minorEastAsia"/>
          <w:szCs w:val="21"/>
        </w:rPr>
        <w:t>学分，外语课2学分），</w:t>
      </w:r>
      <w:r>
        <w:rPr>
          <w:rFonts w:hint="eastAsia" w:cs="Times New Roman" w:asciiTheme="minorEastAsia" w:hAnsiTheme="minorEastAsia"/>
          <w:szCs w:val="21"/>
        </w:rPr>
        <w:t>学科</w:t>
      </w:r>
      <w:r>
        <w:rPr>
          <w:rFonts w:cs="Times New Roman" w:asciiTheme="minorEastAsia" w:hAnsiTheme="minorEastAsia"/>
          <w:szCs w:val="21"/>
        </w:rPr>
        <w:t>学位课10学分</w:t>
      </w:r>
      <w:r>
        <w:rPr>
          <w:rFonts w:hint="eastAsia" w:cs="Times New Roman" w:asciiTheme="minorEastAsia" w:hAnsiTheme="minorEastAsia"/>
          <w:szCs w:val="21"/>
        </w:rPr>
        <w:t>。</w:t>
      </w:r>
    </w:p>
    <w:tbl>
      <w:tblPr>
        <w:tblStyle w:val="37"/>
        <w:tblW w:w="47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454"/>
        <w:gridCol w:w="1042"/>
        <w:gridCol w:w="1402"/>
        <w:gridCol w:w="2483"/>
        <w:gridCol w:w="404"/>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73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r>
              <w:rPr>
                <w:rFonts w:ascii="Times New Roman" w:hAnsi="Times New Roman" w:cs="Times New Roman"/>
                <w:b/>
                <w:bCs/>
                <w:szCs w:val="21"/>
              </w:rPr>
              <w:t>课程</w:t>
            </w:r>
            <w:r>
              <w:rPr>
                <w:rFonts w:hint="eastAsia" w:ascii="Times New Roman" w:hAnsi="Times New Roman" w:cs="Times New Roman"/>
                <w:b/>
                <w:bCs/>
                <w:szCs w:val="21"/>
              </w:rPr>
              <w:t>性质</w:t>
            </w:r>
          </w:p>
        </w:tc>
        <w:tc>
          <w:tcPr>
            <w:tcW w:w="2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r>
              <w:rPr>
                <w:rFonts w:ascii="Times New Roman" w:hAnsi="Times New Roman" w:cs="Times New Roman"/>
                <w:b/>
                <w:bCs/>
                <w:szCs w:val="21"/>
              </w:rPr>
              <w:t>序号</w:t>
            </w:r>
          </w:p>
        </w:tc>
        <w:tc>
          <w:tcPr>
            <w:tcW w:w="6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r>
              <w:rPr>
                <w:rFonts w:hint="eastAsia" w:ascii="Times New Roman" w:hAnsi="Times New Roman" w:cs="Times New Roman"/>
                <w:b/>
                <w:bCs/>
                <w:szCs w:val="21"/>
              </w:rPr>
              <w:t>课程编号</w:t>
            </w:r>
          </w:p>
        </w:tc>
        <w:tc>
          <w:tcPr>
            <w:tcW w:w="83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r>
              <w:rPr>
                <w:rFonts w:ascii="Times New Roman" w:hAnsi="Times New Roman" w:cs="Times New Roman"/>
                <w:b/>
                <w:bCs/>
                <w:szCs w:val="21"/>
              </w:rPr>
              <w:t>统一编码</w:t>
            </w:r>
          </w:p>
        </w:tc>
        <w:tc>
          <w:tcPr>
            <w:tcW w:w="147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r>
              <w:rPr>
                <w:rFonts w:ascii="Times New Roman" w:hAnsi="Times New Roman" w:cs="Times New Roman"/>
                <w:b/>
                <w:bCs/>
                <w:szCs w:val="21"/>
              </w:rPr>
              <w:t>课程名称</w:t>
            </w:r>
          </w:p>
        </w:tc>
        <w:tc>
          <w:tcPr>
            <w:tcW w:w="23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r>
              <w:rPr>
                <w:rFonts w:ascii="Times New Roman" w:hAnsi="Times New Roman" w:cs="Times New Roman"/>
                <w:b/>
                <w:bCs/>
                <w:szCs w:val="21"/>
              </w:rPr>
              <w:t>学分</w:t>
            </w:r>
          </w:p>
        </w:tc>
        <w:tc>
          <w:tcPr>
            <w:tcW w:w="834"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r>
              <w:rPr>
                <w:rFonts w:ascii="Times New Roman" w:hAnsi="Times New Roman" w:cs="Times New Roman"/>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9"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公共学位课</w:t>
            </w:r>
          </w:p>
        </w:tc>
        <w:tc>
          <w:tcPr>
            <w:tcW w:w="2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6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141003</w:t>
            </w:r>
          </w:p>
        </w:tc>
        <w:tc>
          <w:tcPr>
            <w:tcW w:w="83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MLMD6003</w:t>
            </w:r>
            <w:r>
              <w:rPr>
                <w:rFonts w:hint="eastAsia" w:cs="Times New Roman" w:asciiTheme="minorEastAsia" w:hAnsiTheme="minorEastAsia"/>
                <w:szCs w:val="21"/>
              </w:rPr>
              <w:t>14</w:t>
            </w:r>
          </w:p>
        </w:tc>
        <w:tc>
          <w:tcPr>
            <w:tcW w:w="147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hint="eastAsia" w:ascii="Times New Roman" w:hAnsi="Times New Roman" w:cs="Times New Roman"/>
                <w:szCs w:val="21"/>
              </w:rPr>
              <w:t>新时代</w:t>
            </w:r>
            <w:r>
              <w:rPr>
                <w:rFonts w:ascii="Times New Roman" w:hAnsi="Times New Roman" w:cs="Times New Roman"/>
                <w:szCs w:val="21"/>
              </w:rPr>
              <w:t>中国特色社会主义理论与实践</w:t>
            </w:r>
          </w:p>
        </w:tc>
        <w:tc>
          <w:tcPr>
            <w:tcW w:w="23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34"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5学分</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必修</w:t>
            </w:r>
            <w:r>
              <w:rPr>
                <w:rFonts w:hint="eastAsia"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p>
        </w:tc>
        <w:tc>
          <w:tcPr>
            <w:tcW w:w="2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6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141005</w:t>
            </w:r>
          </w:p>
        </w:tc>
        <w:tc>
          <w:tcPr>
            <w:tcW w:w="83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PHLS6001</w:t>
            </w:r>
            <w:r>
              <w:rPr>
                <w:rFonts w:hint="eastAsia" w:cs="Times New Roman" w:asciiTheme="minorEastAsia" w:hAnsiTheme="minorEastAsia"/>
                <w:szCs w:val="21"/>
              </w:rPr>
              <w:t>14</w:t>
            </w:r>
          </w:p>
        </w:tc>
        <w:tc>
          <w:tcPr>
            <w:tcW w:w="147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自然辩证法</w:t>
            </w:r>
          </w:p>
        </w:tc>
        <w:tc>
          <w:tcPr>
            <w:tcW w:w="23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83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p>
        </w:tc>
        <w:tc>
          <w:tcPr>
            <w:tcW w:w="2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3</w:t>
            </w:r>
          </w:p>
        </w:tc>
        <w:tc>
          <w:tcPr>
            <w:tcW w:w="6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12106</w:t>
            </w:r>
            <w:r>
              <w:rPr>
                <w:rFonts w:hint="eastAsia" w:cs="Times New Roman" w:asciiTheme="minorEastAsia" w:hAnsiTheme="minorEastAsia"/>
                <w:szCs w:val="21"/>
              </w:rPr>
              <w:t>7</w:t>
            </w:r>
          </w:p>
        </w:tc>
        <w:tc>
          <w:tcPr>
            <w:tcW w:w="83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ENGL602112</w:t>
            </w:r>
          </w:p>
        </w:tc>
        <w:tc>
          <w:tcPr>
            <w:tcW w:w="147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hint="eastAsia" w:ascii="Times New Roman" w:hAnsi="Times New Roman" w:cs="Times New Roman"/>
                <w:szCs w:val="21"/>
              </w:rPr>
              <w:t>学术英语二</w:t>
            </w:r>
          </w:p>
        </w:tc>
        <w:tc>
          <w:tcPr>
            <w:tcW w:w="23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3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p>
        </w:tc>
        <w:tc>
          <w:tcPr>
            <w:tcW w:w="2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4</w:t>
            </w:r>
          </w:p>
        </w:tc>
        <w:tc>
          <w:tcPr>
            <w:tcW w:w="6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141006</w:t>
            </w:r>
          </w:p>
        </w:tc>
        <w:tc>
          <w:tcPr>
            <w:tcW w:w="83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MLMD6001</w:t>
            </w:r>
            <w:r>
              <w:rPr>
                <w:rFonts w:hint="eastAsia" w:cs="Times New Roman" w:asciiTheme="minorEastAsia" w:hAnsiTheme="minorEastAsia"/>
                <w:szCs w:val="21"/>
              </w:rPr>
              <w:t>14</w:t>
            </w:r>
          </w:p>
        </w:tc>
        <w:tc>
          <w:tcPr>
            <w:tcW w:w="147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中国马克思主义与当代</w:t>
            </w:r>
          </w:p>
        </w:tc>
        <w:tc>
          <w:tcPr>
            <w:tcW w:w="23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34"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进入博士培养阶段后必选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9"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学科</w:t>
            </w:r>
            <w:r>
              <w:rPr>
                <w:rFonts w:ascii="Times New Roman" w:hAnsi="Times New Roman" w:cs="Times New Roman"/>
                <w:szCs w:val="21"/>
              </w:rPr>
              <w:t>学位课</w:t>
            </w:r>
          </w:p>
        </w:tc>
        <w:tc>
          <w:tcPr>
            <w:tcW w:w="2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6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152050</w:t>
            </w:r>
          </w:p>
        </w:tc>
        <w:tc>
          <w:tcPr>
            <w:tcW w:w="83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PUBH6107</w:t>
            </w:r>
            <w:r>
              <w:rPr>
                <w:rFonts w:hint="eastAsia" w:cs="Times New Roman" w:asciiTheme="minorEastAsia" w:hAnsiTheme="minorEastAsia"/>
                <w:szCs w:val="21"/>
              </w:rPr>
              <w:t>15</w:t>
            </w:r>
          </w:p>
        </w:tc>
        <w:tc>
          <w:tcPr>
            <w:tcW w:w="147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医学统计学</w:t>
            </w:r>
          </w:p>
        </w:tc>
        <w:tc>
          <w:tcPr>
            <w:tcW w:w="23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34"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8</w:t>
            </w:r>
            <w:r>
              <w:rPr>
                <w:rFonts w:hint="eastAsia" w:ascii="Times New Roman" w:hAnsi="Times New Roman" w:cs="Times New Roman"/>
                <w:szCs w:val="21"/>
              </w:rPr>
              <w:t>学分</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c>
          <w:tcPr>
            <w:tcW w:w="2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6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153043</w:t>
            </w:r>
          </w:p>
        </w:tc>
        <w:tc>
          <w:tcPr>
            <w:tcW w:w="83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BASM6125</w:t>
            </w:r>
            <w:r>
              <w:rPr>
                <w:rFonts w:hint="eastAsia" w:cs="Times New Roman" w:asciiTheme="minorEastAsia" w:hAnsiTheme="minorEastAsia"/>
                <w:szCs w:val="21"/>
              </w:rPr>
              <w:t>15</w:t>
            </w:r>
          </w:p>
        </w:tc>
        <w:tc>
          <w:tcPr>
            <w:tcW w:w="147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hint="eastAsia" w:cs="Times New Roman" w:asciiTheme="minorEastAsia" w:hAnsiTheme="minorEastAsia"/>
                <w:szCs w:val="21"/>
              </w:rPr>
              <w:t>Medical</w:t>
            </w:r>
            <w:r>
              <w:rPr>
                <w:rFonts w:cs="Times New Roman" w:asciiTheme="minorEastAsia" w:hAnsiTheme="minorEastAsia"/>
                <w:szCs w:val="21"/>
              </w:rPr>
              <w:t xml:space="preserve"> </w:t>
            </w:r>
            <w:r>
              <w:rPr>
                <w:rFonts w:hint="eastAsia" w:cs="Times New Roman" w:asciiTheme="minorEastAsia" w:hAnsiTheme="minorEastAsia"/>
                <w:szCs w:val="21"/>
              </w:rPr>
              <w:t>Molecular</w:t>
            </w:r>
            <w:r>
              <w:rPr>
                <w:rFonts w:cs="Times New Roman" w:asciiTheme="minorEastAsia" w:hAnsiTheme="minorEastAsia"/>
                <w:szCs w:val="21"/>
              </w:rPr>
              <w:t xml:space="preserve"> </w:t>
            </w:r>
            <w:r>
              <w:rPr>
                <w:rFonts w:hint="eastAsia" w:cs="Times New Roman" w:asciiTheme="minorEastAsia" w:hAnsiTheme="minorEastAsia"/>
                <w:szCs w:val="21"/>
              </w:rPr>
              <w:t>Biology（全英文）</w:t>
            </w:r>
          </w:p>
        </w:tc>
        <w:tc>
          <w:tcPr>
            <w:tcW w:w="23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3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c>
          <w:tcPr>
            <w:tcW w:w="2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3</w:t>
            </w:r>
          </w:p>
        </w:tc>
        <w:tc>
          <w:tcPr>
            <w:tcW w:w="6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152189</w:t>
            </w:r>
          </w:p>
        </w:tc>
        <w:tc>
          <w:tcPr>
            <w:tcW w:w="83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BASM6124</w:t>
            </w:r>
            <w:r>
              <w:rPr>
                <w:rFonts w:hint="eastAsia" w:cs="Times New Roman" w:asciiTheme="minorEastAsia" w:hAnsiTheme="minorEastAsia"/>
                <w:szCs w:val="21"/>
              </w:rPr>
              <w:t>15</w:t>
            </w:r>
          </w:p>
        </w:tc>
        <w:tc>
          <w:tcPr>
            <w:tcW w:w="147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生物信息学</w:t>
            </w:r>
          </w:p>
        </w:tc>
        <w:tc>
          <w:tcPr>
            <w:tcW w:w="23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3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c>
          <w:tcPr>
            <w:tcW w:w="2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4</w:t>
            </w:r>
          </w:p>
        </w:tc>
        <w:tc>
          <w:tcPr>
            <w:tcW w:w="6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152041</w:t>
            </w:r>
          </w:p>
        </w:tc>
        <w:tc>
          <w:tcPr>
            <w:tcW w:w="83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BIOL6112</w:t>
            </w:r>
            <w:r>
              <w:rPr>
                <w:rFonts w:hint="eastAsia" w:cs="Times New Roman" w:asciiTheme="minorEastAsia" w:hAnsiTheme="minorEastAsia"/>
                <w:szCs w:val="21"/>
              </w:rPr>
              <w:t>15</w:t>
            </w:r>
          </w:p>
        </w:tc>
        <w:tc>
          <w:tcPr>
            <w:tcW w:w="147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分子细胞生物学</w:t>
            </w:r>
          </w:p>
        </w:tc>
        <w:tc>
          <w:tcPr>
            <w:tcW w:w="23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3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2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6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152088</w:t>
            </w:r>
          </w:p>
        </w:tc>
        <w:tc>
          <w:tcPr>
            <w:tcW w:w="83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BIOL7105</w:t>
            </w:r>
            <w:r>
              <w:rPr>
                <w:rFonts w:hint="eastAsia" w:cs="Times New Roman" w:asciiTheme="minorEastAsia" w:hAnsiTheme="minorEastAsia"/>
                <w:szCs w:val="21"/>
              </w:rPr>
              <w:t>15</w:t>
            </w:r>
          </w:p>
        </w:tc>
        <w:tc>
          <w:tcPr>
            <w:tcW w:w="147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生理学（2）</w:t>
            </w:r>
          </w:p>
        </w:tc>
        <w:tc>
          <w:tcPr>
            <w:tcW w:w="23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34"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根据学生的专业选修2学分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2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6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152089</w:t>
            </w:r>
          </w:p>
        </w:tc>
        <w:tc>
          <w:tcPr>
            <w:tcW w:w="83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BIOL7106</w:t>
            </w:r>
            <w:r>
              <w:rPr>
                <w:rFonts w:hint="eastAsia" w:cs="Times New Roman" w:asciiTheme="minorEastAsia" w:hAnsiTheme="minorEastAsia"/>
                <w:szCs w:val="21"/>
              </w:rPr>
              <w:t>15</w:t>
            </w:r>
          </w:p>
        </w:tc>
        <w:tc>
          <w:tcPr>
            <w:tcW w:w="147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遗传学（2）</w:t>
            </w:r>
          </w:p>
        </w:tc>
        <w:tc>
          <w:tcPr>
            <w:tcW w:w="23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3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2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3</w:t>
            </w:r>
          </w:p>
        </w:tc>
        <w:tc>
          <w:tcPr>
            <w:tcW w:w="6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152090</w:t>
            </w:r>
          </w:p>
        </w:tc>
        <w:tc>
          <w:tcPr>
            <w:tcW w:w="83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BIOL7107</w:t>
            </w:r>
            <w:r>
              <w:rPr>
                <w:rFonts w:hint="eastAsia" w:cs="Times New Roman" w:asciiTheme="minorEastAsia" w:hAnsiTheme="minorEastAsia"/>
                <w:szCs w:val="21"/>
              </w:rPr>
              <w:t>15</w:t>
            </w:r>
          </w:p>
        </w:tc>
        <w:tc>
          <w:tcPr>
            <w:tcW w:w="147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细胞生物学（2）</w:t>
            </w:r>
          </w:p>
        </w:tc>
        <w:tc>
          <w:tcPr>
            <w:tcW w:w="23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3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2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4</w:t>
            </w:r>
          </w:p>
        </w:tc>
        <w:tc>
          <w:tcPr>
            <w:tcW w:w="6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152091</w:t>
            </w:r>
          </w:p>
        </w:tc>
        <w:tc>
          <w:tcPr>
            <w:tcW w:w="83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BIOL7108</w:t>
            </w:r>
            <w:r>
              <w:rPr>
                <w:rFonts w:hint="eastAsia" w:cs="Times New Roman" w:asciiTheme="minorEastAsia" w:hAnsiTheme="minorEastAsia"/>
                <w:szCs w:val="21"/>
              </w:rPr>
              <w:t>15</w:t>
            </w:r>
          </w:p>
        </w:tc>
        <w:tc>
          <w:tcPr>
            <w:tcW w:w="147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神经生物学（2）</w:t>
            </w:r>
          </w:p>
        </w:tc>
        <w:tc>
          <w:tcPr>
            <w:tcW w:w="23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3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2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5</w:t>
            </w:r>
          </w:p>
        </w:tc>
        <w:tc>
          <w:tcPr>
            <w:tcW w:w="6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152092</w:t>
            </w:r>
          </w:p>
        </w:tc>
        <w:tc>
          <w:tcPr>
            <w:tcW w:w="83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BIOL7109</w:t>
            </w:r>
            <w:r>
              <w:rPr>
                <w:rFonts w:hint="eastAsia" w:cs="Times New Roman" w:asciiTheme="minorEastAsia" w:hAnsiTheme="minorEastAsia"/>
                <w:szCs w:val="21"/>
              </w:rPr>
              <w:t>15</w:t>
            </w:r>
          </w:p>
        </w:tc>
        <w:tc>
          <w:tcPr>
            <w:tcW w:w="147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生物化学与分子生物学（2）</w:t>
            </w:r>
          </w:p>
        </w:tc>
        <w:tc>
          <w:tcPr>
            <w:tcW w:w="23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3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2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6</w:t>
            </w:r>
          </w:p>
        </w:tc>
        <w:tc>
          <w:tcPr>
            <w:tcW w:w="6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152188</w:t>
            </w:r>
          </w:p>
        </w:tc>
        <w:tc>
          <w:tcPr>
            <w:tcW w:w="83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BIOL7116</w:t>
            </w:r>
            <w:r>
              <w:rPr>
                <w:rFonts w:hint="eastAsia" w:cs="Times New Roman" w:asciiTheme="minorEastAsia" w:hAnsiTheme="minorEastAsia"/>
                <w:szCs w:val="21"/>
              </w:rPr>
              <w:t>15</w:t>
            </w:r>
          </w:p>
        </w:tc>
        <w:tc>
          <w:tcPr>
            <w:tcW w:w="147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生物物理学（2）</w:t>
            </w:r>
          </w:p>
        </w:tc>
        <w:tc>
          <w:tcPr>
            <w:tcW w:w="23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3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9"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szCs w:val="21"/>
              </w:rPr>
            </w:pPr>
            <w:r>
              <w:rPr>
                <w:rFonts w:hint="eastAsia" w:ascii="宋体" w:hAnsi="宋体" w:eastAsia="宋体" w:cs="宋体"/>
                <w:szCs w:val="21"/>
              </w:rPr>
              <w:t>学科选修课</w:t>
            </w:r>
          </w:p>
        </w:tc>
        <w:tc>
          <w:tcPr>
            <w:tcW w:w="2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1</w:t>
            </w:r>
          </w:p>
        </w:tc>
        <w:tc>
          <w:tcPr>
            <w:tcW w:w="6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152075</w:t>
            </w:r>
          </w:p>
        </w:tc>
        <w:tc>
          <w:tcPr>
            <w:tcW w:w="83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BASM6117</w:t>
            </w:r>
            <w:r>
              <w:rPr>
                <w:rFonts w:hint="eastAsia" w:cs="Times New Roman" w:asciiTheme="minorEastAsia" w:hAnsiTheme="minorEastAsia"/>
                <w:szCs w:val="21"/>
              </w:rPr>
              <w:t>15</w:t>
            </w:r>
          </w:p>
        </w:tc>
        <w:tc>
          <w:tcPr>
            <w:tcW w:w="147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医学科学研究导论</w:t>
            </w:r>
          </w:p>
        </w:tc>
        <w:tc>
          <w:tcPr>
            <w:tcW w:w="23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34"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I类选修课</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ascii="Times New Roman" w:hAnsi="Times New Roman" w:cs="Times New Roman"/>
                <w:szCs w:val="21"/>
              </w:rPr>
              <w:t>≥4学分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2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6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152078</w:t>
            </w:r>
          </w:p>
        </w:tc>
        <w:tc>
          <w:tcPr>
            <w:tcW w:w="83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BASM6118</w:t>
            </w:r>
            <w:r>
              <w:rPr>
                <w:rFonts w:hint="eastAsia" w:cs="Times New Roman" w:asciiTheme="minorEastAsia" w:hAnsiTheme="minorEastAsia"/>
                <w:szCs w:val="21"/>
              </w:rPr>
              <w:t>15</w:t>
            </w:r>
          </w:p>
        </w:tc>
        <w:tc>
          <w:tcPr>
            <w:tcW w:w="147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诺贝尔奖论文剖析</w:t>
            </w:r>
          </w:p>
        </w:tc>
        <w:tc>
          <w:tcPr>
            <w:tcW w:w="23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3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cs="Times New Roman"/>
                <w:bCs/>
                <w:szCs w:val="21"/>
              </w:rPr>
            </w:pPr>
          </w:p>
        </w:tc>
        <w:tc>
          <w:tcPr>
            <w:tcW w:w="2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3</w:t>
            </w:r>
          </w:p>
        </w:tc>
        <w:tc>
          <w:tcPr>
            <w:tcW w:w="6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152007</w:t>
            </w:r>
          </w:p>
        </w:tc>
        <w:tc>
          <w:tcPr>
            <w:tcW w:w="83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BASM6105</w:t>
            </w:r>
            <w:r>
              <w:rPr>
                <w:rFonts w:hint="eastAsia" w:cs="Times New Roman" w:asciiTheme="minorEastAsia" w:hAnsiTheme="minorEastAsia"/>
                <w:szCs w:val="21"/>
              </w:rPr>
              <w:t>15</w:t>
            </w:r>
          </w:p>
        </w:tc>
        <w:tc>
          <w:tcPr>
            <w:tcW w:w="147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医学免疫学</w:t>
            </w:r>
          </w:p>
        </w:tc>
        <w:tc>
          <w:tcPr>
            <w:tcW w:w="23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34" w:type="pct"/>
            <w:vMerge w:val="continue"/>
            <w:tcMar>
              <w:left w:w="57" w:type="dxa"/>
              <w:right w:w="57" w:type="dxa"/>
            </w:tcMa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cs="Times New Roman"/>
                <w:bCs/>
                <w:szCs w:val="21"/>
              </w:rPr>
            </w:pPr>
          </w:p>
        </w:tc>
        <w:tc>
          <w:tcPr>
            <w:tcW w:w="2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4</w:t>
            </w:r>
          </w:p>
        </w:tc>
        <w:tc>
          <w:tcPr>
            <w:tcW w:w="6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152042</w:t>
            </w:r>
          </w:p>
        </w:tc>
        <w:tc>
          <w:tcPr>
            <w:tcW w:w="83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BIOL6113</w:t>
            </w:r>
            <w:r>
              <w:rPr>
                <w:rFonts w:hint="eastAsia" w:cs="Times New Roman" w:asciiTheme="minorEastAsia" w:hAnsiTheme="minorEastAsia"/>
                <w:szCs w:val="21"/>
              </w:rPr>
              <w:t>15</w:t>
            </w:r>
          </w:p>
        </w:tc>
        <w:tc>
          <w:tcPr>
            <w:tcW w:w="147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医学遗传学</w:t>
            </w:r>
          </w:p>
        </w:tc>
        <w:tc>
          <w:tcPr>
            <w:tcW w:w="23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34" w:type="pct"/>
            <w:vMerge w:val="continue"/>
            <w:tcMar>
              <w:left w:w="57" w:type="dxa"/>
              <w:right w:w="57" w:type="dxa"/>
            </w:tcMa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cs="Times New Roman"/>
                <w:bCs/>
                <w:szCs w:val="21"/>
              </w:rPr>
            </w:pPr>
          </w:p>
        </w:tc>
        <w:tc>
          <w:tcPr>
            <w:tcW w:w="2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5</w:t>
            </w:r>
          </w:p>
        </w:tc>
        <w:tc>
          <w:tcPr>
            <w:tcW w:w="6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cs="Times New Roman" w:asciiTheme="minorEastAsia" w:hAnsiTheme="minorEastAsia"/>
                <w:szCs w:val="21"/>
              </w:rPr>
              <w:t>152073</w:t>
            </w:r>
          </w:p>
        </w:tc>
        <w:tc>
          <w:tcPr>
            <w:tcW w:w="83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BASM6116</w:t>
            </w:r>
            <w:r>
              <w:rPr>
                <w:rFonts w:hint="eastAsia" w:cs="Times New Roman" w:asciiTheme="minorEastAsia" w:hAnsiTheme="minorEastAsia"/>
                <w:szCs w:val="21"/>
              </w:rPr>
              <w:t>15</w:t>
            </w:r>
          </w:p>
        </w:tc>
        <w:tc>
          <w:tcPr>
            <w:tcW w:w="147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动物实验与实验动物学</w:t>
            </w:r>
          </w:p>
        </w:tc>
        <w:tc>
          <w:tcPr>
            <w:tcW w:w="23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34" w:type="pct"/>
            <w:vMerge w:val="continue"/>
            <w:tcMar>
              <w:left w:w="57" w:type="dxa"/>
              <w:right w:w="57" w:type="dxa"/>
            </w:tcMa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9"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r>
              <w:rPr>
                <w:rFonts w:hint="eastAsia" w:ascii="宋体" w:hAnsi="宋体" w:eastAsia="宋体" w:cs="宋体"/>
                <w:szCs w:val="21"/>
              </w:rPr>
              <w:t>其他选修课</w:t>
            </w:r>
          </w:p>
        </w:tc>
        <w:tc>
          <w:tcPr>
            <w:tcW w:w="2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1</w:t>
            </w:r>
          </w:p>
        </w:tc>
        <w:tc>
          <w:tcPr>
            <w:tcW w:w="6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hint="eastAsia" w:ascii="宋体" w:hAnsi="宋体" w:eastAsia="宋体" w:cs="Times New Roman"/>
                <w:szCs w:val="21"/>
              </w:rPr>
              <w:t>153044</w:t>
            </w:r>
          </w:p>
        </w:tc>
        <w:tc>
          <w:tcPr>
            <w:tcW w:w="83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BASM612615</w:t>
            </w:r>
          </w:p>
        </w:tc>
        <w:tc>
          <w:tcPr>
            <w:tcW w:w="147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研究生</w:t>
            </w:r>
            <w:r>
              <w:rPr>
                <w:rFonts w:ascii="Times New Roman" w:hAnsi="Times New Roman" w:eastAsia="宋体" w:cs="Times New Roman"/>
                <w:szCs w:val="21"/>
              </w:rPr>
              <w:t>论文写作</w:t>
            </w:r>
            <w:r>
              <w:rPr>
                <w:rFonts w:hint="eastAsia" w:ascii="Times New Roman" w:hAnsi="Times New Roman" w:eastAsia="宋体" w:cs="Times New Roman"/>
                <w:szCs w:val="21"/>
              </w:rPr>
              <w:t>指导（15）</w:t>
            </w:r>
          </w:p>
        </w:tc>
        <w:tc>
          <w:tcPr>
            <w:tcW w:w="23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（必修）</w:t>
            </w:r>
          </w:p>
        </w:tc>
        <w:tc>
          <w:tcPr>
            <w:tcW w:w="834"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II类选修</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ascii="Times New Roman" w:hAnsi="Times New Roman" w:cs="Times New Roman"/>
                <w:szCs w:val="21"/>
              </w:rPr>
              <w:t>≥4学分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szCs w:val="21"/>
              </w:rPr>
            </w:pPr>
          </w:p>
        </w:tc>
        <w:tc>
          <w:tcPr>
            <w:tcW w:w="2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6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w:t>
            </w:r>
          </w:p>
        </w:tc>
        <w:tc>
          <w:tcPr>
            <w:tcW w:w="83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w:t>
            </w:r>
          </w:p>
        </w:tc>
        <w:tc>
          <w:tcPr>
            <w:tcW w:w="147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hint="eastAsia" w:ascii="Times New Roman" w:hAnsi="Times New Roman" w:cs="Times New Roman"/>
                <w:szCs w:val="21"/>
              </w:rPr>
              <w:t>在</w:t>
            </w:r>
            <w:r>
              <w:rPr>
                <w:rFonts w:ascii="Times New Roman" w:hAnsi="Times New Roman" w:cs="Times New Roman"/>
                <w:szCs w:val="21"/>
              </w:rPr>
              <w:t>通选课中至少选一门</w:t>
            </w:r>
          </w:p>
        </w:tc>
        <w:tc>
          <w:tcPr>
            <w:tcW w:w="239"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≥3</w:t>
            </w:r>
          </w:p>
        </w:tc>
        <w:tc>
          <w:tcPr>
            <w:tcW w:w="83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szCs w:val="21"/>
              </w:rPr>
            </w:pPr>
          </w:p>
        </w:tc>
        <w:tc>
          <w:tcPr>
            <w:tcW w:w="2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3</w:t>
            </w:r>
          </w:p>
        </w:tc>
        <w:tc>
          <w:tcPr>
            <w:tcW w:w="6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w:t>
            </w:r>
          </w:p>
        </w:tc>
        <w:tc>
          <w:tcPr>
            <w:tcW w:w="83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w:t>
            </w:r>
          </w:p>
        </w:tc>
        <w:tc>
          <w:tcPr>
            <w:tcW w:w="147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eastAsia="宋体" w:cs="Times New Roman"/>
                <w:szCs w:val="21"/>
              </w:rPr>
              <w:t>研究生课程目录上选修</w:t>
            </w:r>
          </w:p>
        </w:tc>
        <w:tc>
          <w:tcPr>
            <w:tcW w:w="2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c>
          <w:tcPr>
            <w:tcW w:w="83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9"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r>
              <w:rPr>
                <w:rFonts w:hint="eastAsia" w:ascii="Times New Roman" w:hAnsi="Times New Roman" w:cs="Times New Roman"/>
                <w:bCs/>
                <w:szCs w:val="21"/>
              </w:rPr>
              <w:t>必修环节</w:t>
            </w:r>
          </w:p>
        </w:tc>
        <w:tc>
          <w:tcPr>
            <w:tcW w:w="2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6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001999</w:t>
            </w:r>
          </w:p>
        </w:tc>
        <w:tc>
          <w:tcPr>
            <w:tcW w:w="83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BXHJ8003</w:t>
            </w:r>
            <w:r>
              <w:rPr>
                <w:rFonts w:hint="eastAsia" w:cs="Times New Roman" w:asciiTheme="minorEastAsia" w:hAnsiTheme="minorEastAsia"/>
                <w:szCs w:val="21"/>
              </w:rPr>
              <w:t>99</w:t>
            </w:r>
          </w:p>
        </w:tc>
        <w:tc>
          <w:tcPr>
            <w:tcW w:w="1470"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学术活动（讲座）博</w:t>
            </w:r>
          </w:p>
        </w:tc>
        <w:tc>
          <w:tcPr>
            <w:tcW w:w="23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2（硕1）</w:t>
            </w:r>
          </w:p>
        </w:tc>
        <w:tc>
          <w:tcPr>
            <w:tcW w:w="834"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17学分</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2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6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001987</w:t>
            </w:r>
          </w:p>
        </w:tc>
        <w:tc>
          <w:tcPr>
            <w:tcW w:w="83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BXHJ6006</w:t>
            </w:r>
            <w:r>
              <w:rPr>
                <w:rFonts w:hint="eastAsia" w:cs="Times New Roman" w:asciiTheme="minorEastAsia" w:hAnsiTheme="minorEastAsia"/>
                <w:szCs w:val="21"/>
              </w:rPr>
              <w:t>99</w:t>
            </w:r>
          </w:p>
        </w:tc>
        <w:tc>
          <w:tcPr>
            <w:tcW w:w="1470"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社会实践</w:t>
            </w:r>
          </w:p>
        </w:tc>
        <w:tc>
          <w:tcPr>
            <w:tcW w:w="23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1（硕1）</w:t>
            </w:r>
          </w:p>
        </w:tc>
        <w:tc>
          <w:tcPr>
            <w:tcW w:w="83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2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3</w:t>
            </w:r>
          </w:p>
        </w:tc>
        <w:tc>
          <w:tcPr>
            <w:tcW w:w="6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001972</w:t>
            </w:r>
          </w:p>
        </w:tc>
        <w:tc>
          <w:tcPr>
            <w:tcW w:w="83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BXHJ8007</w:t>
            </w:r>
            <w:r>
              <w:rPr>
                <w:rFonts w:hint="eastAsia" w:cs="Times New Roman" w:asciiTheme="minorEastAsia" w:hAnsiTheme="minorEastAsia"/>
                <w:szCs w:val="21"/>
              </w:rPr>
              <w:t>99</w:t>
            </w:r>
          </w:p>
        </w:tc>
        <w:tc>
          <w:tcPr>
            <w:tcW w:w="1470"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两助一辅</w:t>
            </w:r>
          </w:p>
        </w:tc>
        <w:tc>
          <w:tcPr>
            <w:tcW w:w="23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3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2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4</w:t>
            </w:r>
          </w:p>
        </w:tc>
        <w:tc>
          <w:tcPr>
            <w:tcW w:w="6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001995</w:t>
            </w:r>
          </w:p>
        </w:tc>
        <w:tc>
          <w:tcPr>
            <w:tcW w:w="83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BXHJ8002</w:t>
            </w:r>
            <w:r>
              <w:rPr>
                <w:rFonts w:hint="eastAsia" w:cs="Times New Roman" w:asciiTheme="minorEastAsia" w:hAnsiTheme="minorEastAsia"/>
                <w:szCs w:val="21"/>
              </w:rPr>
              <w:t>99</w:t>
            </w:r>
          </w:p>
        </w:tc>
        <w:tc>
          <w:tcPr>
            <w:tcW w:w="1470"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基金撰写</w:t>
            </w:r>
          </w:p>
        </w:tc>
        <w:tc>
          <w:tcPr>
            <w:tcW w:w="23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83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2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5</w:t>
            </w:r>
          </w:p>
        </w:tc>
        <w:tc>
          <w:tcPr>
            <w:tcW w:w="6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001970</w:t>
            </w:r>
          </w:p>
        </w:tc>
        <w:tc>
          <w:tcPr>
            <w:tcW w:w="83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BXHJ8009</w:t>
            </w:r>
            <w:r>
              <w:rPr>
                <w:rFonts w:hint="eastAsia" w:cs="Times New Roman" w:asciiTheme="minorEastAsia" w:hAnsiTheme="minorEastAsia"/>
                <w:szCs w:val="21"/>
              </w:rPr>
              <w:t>99</w:t>
            </w:r>
          </w:p>
        </w:tc>
        <w:tc>
          <w:tcPr>
            <w:tcW w:w="1470"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国际化交流</w:t>
            </w:r>
          </w:p>
        </w:tc>
        <w:tc>
          <w:tcPr>
            <w:tcW w:w="23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83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2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6</w:t>
            </w:r>
          </w:p>
        </w:tc>
        <w:tc>
          <w:tcPr>
            <w:tcW w:w="6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cs="Times New Roman" w:asciiTheme="minorEastAsia" w:hAnsiTheme="minorEastAsia"/>
                <w:szCs w:val="21"/>
              </w:rPr>
              <w:t>001986</w:t>
            </w:r>
          </w:p>
        </w:tc>
        <w:tc>
          <w:tcPr>
            <w:tcW w:w="83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BXHJ8004</w:t>
            </w:r>
            <w:r>
              <w:rPr>
                <w:rFonts w:hint="eastAsia" w:cs="Times New Roman" w:asciiTheme="minorEastAsia" w:hAnsiTheme="minorEastAsia"/>
                <w:szCs w:val="21"/>
              </w:rPr>
              <w:t>99</w:t>
            </w:r>
          </w:p>
        </w:tc>
        <w:tc>
          <w:tcPr>
            <w:tcW w:w="1470"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开题报告（博）</w:t>
            </w:r>
          </w:p>
        </w:tc>
        <w:tc>
          <w:tcPr>
            <w:tcW w:w="23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2（硕1）</w:t>
            </w:r>
          </w:p>
        </w:tc>
        <w:tc>
          <w:tcPr>
            <w:tcW w:w="83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2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7</w:t>
            </w:r>
          </w:p>
        </w:tc>
        <w:tc>
          <w:tcPr>
            <w:tcW w:w="6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001994</w:t>
            </w:r>
          </w:p>
        </w:tc>
        <w:tc>
          <w:tcPr>
            <w:tcW w:w="83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BXHJ8001</w:t>
            </w:r>
            <w:r>
              <w:rPr>
                <w:rFonts w:hint="eastAsia" w:cs="Times New Roman" w:asciiTheme="minorEastAsia" w:hAnsiTheme="minorEastAsia"/>
                <w:szCs w:val="21"/>
              </w:rPr>
              <w:t>99</w:t>
            </w:r>
          </w:p>
        </w:tc>
        <w:tc>
          <w:tcPr>
            <w:tcW w:w="1470"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中期考核（博）</w:t>
            </w:r>
          </w:p>
        </w:tc>
        <w:tc>
          <w:tcPr>
            <w:tcW w:w="23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6（硕3）</w:t>
            </w:r>
          </w:p>
        </w:tc>
        <w:tc>
          <w:tcPr>
            <w:tcW w:w="83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2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8</w:t>
            </w:r>
          </w:p>
        </w:tc>
        <w:tc>
          <w:tcPr>
            <w:tcW w:w="6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001971</w:t>
            </w:r>
          </w:p>
        </w:tc>
        <w:tc>
          <w:tcPr>
            <w:tcW w:w="83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INFT600499</w:t>
            </w:r>
          </w:p>
        </w:tc>
        <w:tc>
          <w:tcPr>
            <w:tcW w:w="1470"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文献阅读</w:t>
            </w:r>
          </w:p>
        </w:tc>
        <w:tc>
          <w:tcPr>
            <w:tcW w:w="239"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3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2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9</w:t>
            </w:r>
          </w:p>
        </w:tc>
        <w:tc>
          <w:tcPr>
            <w:tcW w:w="6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001954</w:t>
            </w:r>
          </w:p>
        </w:tc>
        <w:tc>
          <w:tcPr>
            <w:tcW w:w="83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B</w:t>
            </w:r>
            <w:r>
              <w:rPr>
                <w:rFonts w:cs="Times New Roman" w:asciiTheme="minorEastAsia" w:hAnsiTheme="minorEastAsia"/>
                <w:szCs w:val="21"/>
              </w:rPr>
              <w:t>XHJ602499</w:t>
            </w:r>
          </w:p>
        </w:tc>
        <w:tc>
          <w:tcPr>
            <w:tcW w:w="1470"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hint="eastAsia" w:cs="Times New Roman" w:asciiTheme="minorEastAsia" w:hAnsiTheme="minorEastAsia"/>
                <w:szCs w:val="21"/>
              </w:rPr>
              <w:t>劳动教育</w:t>
            </w:r>
          </w:p>
        </w:tc>
        <w:tc>
          <w:tcPr>
            <w:tcW w:w="239"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0</w:t>
            </w:r>
          </w:p>
        </w:tc>
        <w:tc>
          <w:tcPr>
            <w:tcW w:w="83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2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10</w:t>
            </w:r>
          </w:p>
        </w:tc>
        <w:tc>
          <w:tcPr>
            <w:tcW w:w="6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001955</w:t>
            </w:r>
          </w:p>
        </w:tc>
        <w:tc>
          <w:tcPr>
            <w:tcW w:w="83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B</w:t>
            </w:r>
            <w:r>
              <w:rPr>
                <w:rFonts w:cs="Times New Roman" w:asciiTheme="minorEastAsia" w:hAnsiTheme="minorEastAsia"/>
                <w:szCs w:val="21"/>
              </w:rPr>
              <w:t>XHJ602399</w:t>
            </w:r>
          </w:p>
        </w:tc>
        <w:tc>
          <w:tcPr>
            <w:tcW w:w="1470"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cs="Times New Roman" w:asciiTheme="minorEastAsia" w:hAnsiTheme="minorEastAsia"/>
                <w:szCs w:val="21"/>
              </w:rPr>
            </w:pPr>
            <w:r>
              <w:rPr>
                <w:rFonts w:hint="eastAsia" w:cs="Times New Roman" w:asciiTheme="minorEastAsia" w:hAnsiTheme="minorEastAsia"/>
                <w:szCs w:val="21"/>
              </w:rPr>
              <w:t>美育</w:t>
            </w:r>
          </w:p>
        </w:tc>
        <w:tc>
          <w:tcPr>
            <w:tcW w:w="239"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0</w:t>
            </w:r>
          </w:p>
        </w:tc>
        <w:tc>
          <w:tcPr>
            <w:tcW w:w="83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2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11</w:t>
            </w:r>
          </w:p>
        </w:tc>
        <w:tc>
          <w:tcPr>
            <w:tcW w:w="61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001956</w:t>
            </w:r>
          </w:p>
        </w:tc>
        <w:tc>
          <w:tcPr>
            <w:tcW w:w="830"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B</w:t>
            </w:r>
            <w:r>
              <w:rPr>
                <w:rFonts w:cs="Times New Roman" w:asciiTheme="minorEastAsia" w:hAnsiTheme="minorEastAsia"/>
                <w:szCs w:val="21"/>
              </w:rPr>
              <w:t>XHJ602299</w:t>
            </w:r>
          </w:p>
        </w:tc>
        <w:tc>
          <w:tcPr>
            <w:tcW w:w="1470"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cs="Times New Roman" w:asciiTheme="minorEastAsia" w:hAnsiTheme="minorEastAsia"/>
                <w:szCs w:val="21"/>
              </w:rPr>
            </w:pPr>
            <w:r>
              <w:rPr>
                <w:rFonts w:hint="eastAsia" w:cs="Times New Roman" w:asciiTheme="minorEastAsia" w:hAnsiTheme="minorEastAsia"/>
                <w:szCs w:val="21"/>
              </w:rPr>
              <w:t>体育</w:t>
            </w:r>
          </w:p>
        </w:tc>
        <w:tc>
          <w:tcPr>
            <w:tcW w:w="239"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0</w:t>
            </w:r>
          </w:p>
        </w:tc>
        <w:tc>
          <w:tcPr>
            <w:tcW w:w="83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bl>
    <w:p>
      <w:pPr>
        <w:spacing w:before="120" w:beforeLines="50" w:after="120" w:afterLines="50" w:line="286" w:lineRule="auto"/>
        <w:rPr>
          <w:rFonts w:ascii="黑体" w:hAnsi="黑体" w:eastAsia="黑体"/>
          <w:sz w:val="10"/>
          <w:szCs w:val="10"/>
        </w:rPr>
      </w:pPr>
      <w:bookmarkStart w:id="376" w:name="_Toc520822654"/>
      <w:bookmarkStart w:id="377" w:name="_Toc519846434"/>
    </w:p>
    <w:p>
      <w:pPr>
        <w:keepNext w:val="0"/>
        <w:keepLines w:val="0"/>
        <w:pageBreakBefore w:val="0"/>
        <w:widowControl w:val="0"/>
        <w:kinsoku/>
        <w:wordWrap/>
        <w:overflowPunct/>
        <w:topLinePunct w:val="0"/>
        <w:autoSpaceDE/>
        <w:autoSpaceDN/>
        <w:bidi w:val="0"/>
        <w:spacing w:before="95" w:beforeLines="30" w:after="95" w:afterLines="30" w:line="300" w:lineRule="auto"/>
        <w:textAlignment w:val="auto"/>
        <w:rPr>
          <w:rFonts w:ascii="黑体" w:hAnsi="黑体" w:eastAsia="黑体"/>
          <w:sz w:val="24"/>
          <w:szCs w:val="24"/>
        </w:rPr>
      </w:pPr>
      <w:r>
        <w:rPr>
          <w:rFonts w:ascii="黑体" w:hAnsi="黑体" w:eastAsia="黑体"/>
          <w:sz w:val="24"/>
          <w:szCs w:val="24"/>
        </w:rPr>
        <w:t>六、</w:t>
      </w:r>
      <w:r>
        <w:rPr>
          <w:rFonts w:hint="eastAsia" w:ascii="黑体" w:hAnsi="黑体" w:eastAsia="黑体"/>
          <w:sz w:val="24"/>
          <w:szCs w:val="24"/>
        </w:rPr>
        <w:t>必修</w:t>
      </w:r>
      <w:r>
        <w:rPr>
          <w:rFonts w:ascii="黑体" w:hAnsi="黑体" w:eastAsia="黑体"/>
          <w:sz w:val="24"/>
          <w:szCs w:val="24"/>
        </w:rPr>
        <w:t>环节</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．学</w:t>
      </w:r>
      <w:r>
        <w:rPr>
          <w:rFonts w:ascii="Times New Roman" w:hAnsi="Times New Roman" w:eastAsia="宋体" w:cs="Times New Roman"/>
          <w:b/>
          <w:bCs/>
          <w:szCs w:val="21"/>
        </w:rPr>
        <w:t>术活动（讲座）</w:t>
      </w:r>
    </w:p>
    <w:p>
      <w:pPr>
        <w:keepNext w:val="0"/>
        <w:keepLines w:val="0"/>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硕博贯通</w:t>
      </w:r>
      <w:r>
        <w:rPr>
          <w:rFonts w:ascii="Times New Roman" w:hAnsi="Times New Roman" w:eastAsia="宋体" w:cs="Times New Roman"/>
          <w:szCs w:val="21"/>
        </w:rPr>
        <w:t>研究生学术活动（讲座）分为必听讲座和选听讲座。必听讲座为</w:t>
      </w:r>
      <w:r>
        <w:rPr>
          <w:rFonts w:cs="Times New Roman" w:asciiTheme="minorEastAsia" w:hAnsiTheme="minorEastAsia"/>
          <w:szCs w:val="21"/>
        </w:rPr>
        <w:t>“科学道德与学风建设”</w:t>
      </w:r>
      <w:r>
        <w:rPr>
          <w:rFonts w:ascii="Times New Roman" w:hAnsi="Times New Roman" w:eastAsia="宋体" w:cs="Times New Roman"/>
          <w:szCs w:val="21"/>
        </w:rPr>
        <w:t>；选听讲座包括与学科紧密相关</w:t>
      </w:r>
      <w:r>
        <w:rPr>
          <w:rFonts w:cs="Times New Roman" w:asciiTheme="minorEastAsia" w:hAnsiTheme="minorEastAsia"/>
          <w:szCs w:val="21"/>
        </w:rPr>
        <w:t>的“学</w:t>
      </w:r>
      <w:r>
        <w:rPr>
          <w:rFonts w:ascii="Times New Roman" w:hAnsi="Times New Roman" w:eastAsia="宋体" w:cs="Times New Roman"/>
          <w:szCs w:val="21"/>
        </w:rPr>
        <w:t>科前沿系列专题</w:t>
      </w:r>
      <w:r>
        <w:rPr>
          <w:rFonts w:cs="Times New Roman" w:asciiTheme="minorEastAsia" w:hAnsiTheme="minorEastAsia"/>
          <w:szCs w:val="21"/>
        </w:rPr>
        <w:t>讲座”（</w:t>
      </w:r>
      <w:r>
        <w:rPr>
          <w:rFonts w:ascii="Times New Roman" w:hAnsi="Times New Roman" w:eastAsia="宋体" w:cs="Times New Roman"/>
          <w:szCs w:val="21"/>
        </w:rPr>
        <w:t>由各二级学科组织若干教授对本学科前沿知识进行讲座，每个讲座由5个以上讲座组成）一个系列和在全校范围内选听</w:t>
      </w:r>
      <w:r>
        <w:rPr>
          <w:rFonts w:cs="Times New Roman" w:asciiTheme="minorEastAsia" w:hAnsiTheme="minorEastAsia"/>
          <w:szCs w:val="21"/>
        </w:rPr>
        <w:t>“学术讲座”</w:t>
      </w:r>
      <w:r>
        <w:rPr>
          <w:rFonts w:ascii="Times New Roman" w:hAnsi="Times New Roman" w:eastAsia="宋体" w:cs="Times New Roman"/>
          <w:szCs w:val="21"/>
        </w:rPr>
        <w:t>1次，自己公开讲座1次，完成后记2学分</w:t>
      </w:r>
      <w:r>
        <w:rPr>
          <w:rFonts w:hint="eastAsia"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w:t>
      </w:r>
      <w:r>
        <w:rPr>
          <w:rFonts w:ascii="Times New Roman" w:hAnsi="Times New Roman" w:eastAsia="宋体" w:cs="Times New Roman"/>
          <w:b/>
          <w:bCs/>
          <w:szCs w:val="21"/>
        </w:rPr>
        <w:t>社会实践</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w:t>
      </w:r>
      <w:r>
        <w:rPr>
          <w:rFonts w:cs="Times New Roman" w:asciiTheme="minorEastAsia" w:hAnsiTheme="minorEastAsia"/>
          <w:szCs w:val="21"/>
        </w:rPr>
        <w:t>社会实践</w:t>
      </w:r>
      <w:r>
        <w:rPr>
          <w:rFonts w:hint="eastAsia" w:cs="Times New Roman" w:asciiTheme="minorEastAsia" w:hAnsiTheme="minorEastAsia"/>
          <w:szCs w:val="21"/>
        </w:rPr>
        <w:t>”</w:t>
      </w:r>
      <w:r>
        <w:rPr>
          <w:rFonts w:cs="Times New Roman" w:asciiTheme="minorEastAsia" w:hAnsiTheme="minorEastAsia"/>
          <w:szCs w:val="21"/>
        </w:rPr>
        <w:t>是指研究生在校学习期间，除完成本学科规定的业务实践外，接触社会、了解社会、服务社会的实践活动。</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可以通过组织和参与社会调查、支教、扶贫及其他志愿者服务等方式进行，提倡以小组或团队形式开展活动，累计不少于</w:t>
      </w:r>
      <w:r>
        <w:rPr>
          <w:rFonts w:ascii="Times New Roman" w:hAnsi="Times New Roman" w:cs="Times New Roman"/>
          <w:szCs w:val="21"/>
        </w:rPr>
        <w:t>10</w:t>
      </w:r>
      <w:r>
        <w:rPr>
          <w:rFonts w:cs="Times New Roman" w:asciiTheme="minorEastAsia" w:hAnsiTheme="minorEastAsia"/>
          <w:szCs w:val="21"/>
        </w:rPr>
        <w:t>个工作日。</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研</w:t>
      </w:r>
      <w:r>
        <w:rPr>
          <w:rFonts w:cs="Times New Roman" w:asciiTheme="minorEastAsia" w:hAnsiTheme="minorEastAsia"/>
          <w:spacing w:val="-2"/>
          <w:szCs w:val="21"/>
        </w:rPr>
        <w:t>究生完成</w:t>
      </w:r>
      <w:r>
        <w:rPr>
          <w:rFonts w:hint="eastAsia" w:cs="Times New Roman" w:asciiTheme="minorEastAsia" w:hAnsiTheme="minorEastAsia"/>
          <w:spacing w:val="-2"/>
          <w:szCs w:val="21"/>
        </w:rPr>
        <w:t>“</w:t>
      </w:r>
      <w:r>
        <w:rPr>
          <w:rFonts w:cs="Times New Roman" w:asciiTheme="minorEastAsia" w:hAnsiTheme="minorEastAsia"/>
          <w:spacing w:val="-2"/>
          <w:szCs w:val="21"/>
        </w:rPr>
        <w:t>社会实践</w:t>
      </w:r>
      <w:r>
        <w:rPr>
          <w:rFonts w:hint="eastAsia" w:cs="Times New Roman" w:asciiTheme="minorEastAsia" w:hAnsiTheme="minorEastAsia"/>
          <w:spacing w:val="-2"/>
          <w:szCs w:val="21"/>
        </w:rPr>
        <w:t>”</w:t>
      </w:r>
      <w:r>
        <w:rPr>
          <w:rFonts w:cs="Times New Roman" w:asciiTheme="minorEastAsia" w:hAnsiTheme="minorEastAsia"/>
          <w:spacing w:val="-2"/>
          <w:szCs w:val="21"/>
        </w:rPr>
        <w:t>活动后，需撰写不少于</w:t>
      </w:r>
      <w:r>
        <w:rPr>
          <w:rFonts w:ascii="Times New Roman" w:hAnsi="Times New Roman" w:cs="Times New Roman"/>
          <w:spacing w:val="-2"/>
          <w:szCs w:val="21"/>
        </w:rPr>
        <w:t>3000</w:t>
      </w:r>
      <w:r>
        <w:rPr>
          <w:rFonts w:cs="Times New Roman" w:asciiTheme="minorEastAsia" w:hAnsiTheme="minorEastAsia"/>
          <w:spacing w:val="-2"/>
          <w:szCs w:val="21"/>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rFonts w:ascii="Times New Roman" w:hAnsi="Times New Roman" w:cs="Times New Roman"/>
          <w:spacing w:val="-2"/>
          <w:szCs w:val="21"/>
        </w:rPr>
        <w:t>1</w:t>
      </w:r>
      <w:r>
        <w:rPr>
          <w:rFonts w:cs="Times New Roman" w:asciiTheme="minorEastAsia" w:hAnsiTheme="minorEastAsia"/>
          <w:spacing w:val="-2"/>
          <w:szCs w:val="21"/>
        </w:rPr>
        <w:t>学分。</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w:t>
      </w:r>
      <w:r>
        <w:rPr>
          <w:rFonts w:ascii="Times New Roman" w:hAnsi="Times New Roman" w:eastAsia="宋体" w:cs="Times New Roman"/>
          <w:b/>
          <w:bCs/>
          <w:szCs w:val="21"/>
        </w:rPr>
        <w:t>两助一辅</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w:t>
      </w:r>
      <w:r>
        <w:rPr>
          <w:rFonts w:cs="Times New Roman" w:asciiTheme="minorEastAsia" w:hAnsiTheme="minorEastAsia"/>
          <w:szCs w:val="21"/>
        </w:rPr>
        <w:t>两助一辅</w:t>
      </w:r>
      <w:r>
        <w:rPr>
          <w:rFonts w:hint="eastAsia" w:cs="Times New Roman" w:asciiTheme="minorEastAsia" w:hAnsiTheme="minorEastAsia"/>
          <w:szCs w:val="21"/>
        </w:rPr>
        <w:t>”</w:t>
      </w:r>
      <w:r>
        <w:rPr>
          <w:rFonts w:cs="Times New Roman" w:asciiTheme="minorEastAsia" w:hAnsiTheme="minorEastAsia"/>
          <w:szCs w:val="21"/>
        </w:rPr>
        <w:t>是指研究生担任助教、助管和辅导员工作，其目的是培养研究生的综合能力，是研究生培养过程的有机组成部分。</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全日制博士研究生在培养过程中必须完成至少一个标准岗位的助教、助管或辅导员工作。该环节纳入学分管理，通过后记</w:t>
      </w:r>
      <w:r>
        <w:rPr>
          <w:rFonts w:ascii="Times New Roman" w:hAnsi="Times New Roman" w:cs="Times New Roman"/>
          <w:szCs w:val="21"/>
        </w:rPr>
        <w:t>2</w:t>
      </w:r>
      <w:r>
        <w:rPr>
          <w:rFonts w:cs="Times New Roman" w:asciiTheme="minorEastAsia" w:hAnsiTheme="minorEastAsia"/>
          <w:szCs w:val="21"/>
        </w:rPr>
        <w:t>学分。</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4</w:t>
      </w:r>
      <w:r>
        <w:rPr>
          <w:rFonts w:hint="eastAsia" w:ascii="Times New Roman" w:hAnsi="Times New Roman" w:eastAsia="宋体" w:cs="Times New Roman"/>
          <w:b/>
          <w:bCs/>
          <w:szCs w:val="21"/>
        </w:rPr>
        <w:t>．</w:t>
      </w:r>
      <w:r>
        <w:rPr>
          <w:rFonts w:ascii="Times New Roman" w:hAnsi="Times New Roman" w:eastAsia="宋体" w:cs="Times New Roman"/>
          <w:b/>
          <w:bCs/>
          <w:szCs w:val="21"/>
        </w:rPr>
        <w:t>基金撰写</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kern w:val="0"/>
          <w:szCs w:val="21"/>
        </w:rPr>
      </w:pPr>
      <w:r>
        <w:rPr>
          <w:rFonts w:hint="eastAsia" w:ascii="Times New Roman" w:hAnsi="Times New Roman" w:eastAsia="宋体" w:cs="Times New Roman"/>
          <w:szCs w:val="21"/>
        </w:rPr>
        <w:t>硕博贯通</w:t>
      </w:r>
      <w:r>
        <w:rPr>
          <w:rFonts w:cs="Times New Roman" w:asciiTheme="minorEastAsia" w:hAnsiTheme="minorEastAsia"/>
          <w:szCs w:val="21"/>
        </w:rPr>
        <w:t>研究生在学习期间，须在导师指导下，完成一项国家科研基金申请书的撰写，培养博士生申请科研项目的能力，导师同意通过后，记</w:t>
      </w:r>
      <w:r>
        <w:rPr>
          <w:rFonts w:ascii="Times New Roman" w:hAnsi="Times New Roman" w:cs="Times New Roman"/>
          <w:szCs w:val="21"/>
        </w:rPr>
        <w:t>1</w:t>
      </w:r>
      <w:r>
        <w:rPr>
          <w:rFonts w:cs="Times New Roman" w:asciiTheme="minorEastAsia" w:hAnsiTheme="minorEastAsia"/>
          <w:szCs w:val="21"/>
        </w:rPr>
        <w:t>学分。</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5</w:t>
      </w:r>
      <w:r>
        <w:rPr>
          <w:rFonts w:hint="eastAsia" w:ascii="Times New Roman" w:hAnsi="Times New Roman" w:eastAsia="宋体" w:cs="Times New Roman"/>
          <w:b/>
          <w:bCs/>
          <w:szCs w:val="21"/>
        </w:rPr>
        <w:t>．</w:t>
      </w:r>
      <w:r>
        <w:rPr>
          <w:rFonts w:ascii="Times New Roman" w:hAnsi="Times New Roman" w:eastAsia="宋体" w:cs="Times New Roman"/>
          <w:b/>
          <w:bCs/>
          <w:szCs w:val="21"/>
        </w:rPr>
        <w:t>国际化交流</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kern w:val="0"/>
          <w:szCs w:val="21"/>
        </w:rPr>
        <w:t>立足于培养</w:t>
      </w:r>
      <w:r>
        <w:rPr>
          <w:rFonts w:hint="eastAsia" w:ascii="Times New Roman" w:hAnsi="Times New Roman" w:eastAsia="宋体" w:cs="Times New Roman"/>
          <w:szCs w:val="21"/>
        </w:rPr>
        <w:t>硕博贯通</w:t>
      </w:r>
      <w:r>
        <w:rPr>
          <w:rFonts w:cs="Times New Roman" w:asciiTheme="minorEastAsia" w:hAnsiTheme="minorEastAsia"/>
          <w:kern w:val="0"/>
          <w:szCs w:val="21"/>
        </w:rPr>
        <w:t>研究生的全球化视野，</w:t>
      </w:r>
      <w:r>
        <w:rPr>
          <w:rFonts w:cs="Times New Roman" w:asciiTheme="minorEastAsia" w:hAnsiTheme="minorEastAsia"/>
          <w:szCs w:val="21"/>
        </w:rPr>
        <w:t>研究生在校期间，达到以下条件之一记1学分：</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1</w:t>
      </w:r>
      <w:r>
        <w:rPr>
          <w:rFonts w:cs="Times New Roman" w:asciiTheme="minorEastAsia" w:hAnsiTheme="minorEastAsia"/>
          <w:szCs w:val="21"/>
        </w:rPr>
        <w:t>）</w:t>
      </w:r>
      <w:r>
        <w:rPr>
          <w:rFonts w:hint="eastAsia" w:ascii="Times New Roman" w:hAnsi="Times New Roman" w:cs="Times New Roman"/>
          <w:szCs w:val="21"/>
        </w:rPr>
        <w:t>CSC</w:t>
      </w:r>
      <w:r>
        <w:rPr>
          <w:rFonts w:hint="eastAsia" w:cs="Times New Roman" w:asciiTheme="minorEastAsia" w:hAnsiTheme="minorEastAsia"/>
          <w:szCs w:val="21"/>
        </w:rPr>
        <w:t>项目；</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2</w:t>
      </w:r>
      <w:r>
        <w:rPr>
          <w:rFonts w:cs="Times New Roman" w:asciiTheme="minorEastAsia" w:hAnsiTheme="minorEastAsia"/>
          <w:szCs w:val="21"/>
        </w:rPr>
        <w:t>）</w:t>
      </w:r>
      <w:r>
        <w:rPr>
          <w:rFonts w:hint="eastAsia" w:cs="Times New Roman" w:asciiTheme="minorEastAsia" w:hAnsiTheme="minorEastAsia"/>
          <w:szCs w:val="21"/>
        </w:rPr>
        <w:t>与国（境）外</w:t>
      </w:r>
      <w:r>
        <w:rPr>
          <w:rFonts w:cs="Times New Roman" w:asciiTheme="minorEastAsia" w:hAnsiTheme="minorEastAsia"/>
          <w:szCs w:val="21"/>
        </w:rPr>
        <w:t>联合培养；</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3</w:t>
      </w:r>
      <w:r>
        <w:rPr>
          <w:rFonts w:cs="Times New Roman" w:asciiTheme="minorEastAsia" w:hAnsiTheme="minorEastAsia"/>
          <w:szCs w:val="21"/>
        </w:rPr>
        <w:t>）</w:t>
      </w:r>
      <w:r>
        <w:rPr>
          <w:rFonts w:hint="eastAsia" w:cs="Times New Roman" w:asciiTheme="minorEastAsia" w:hAnsiTheme="minorEastAsia"/>
          <w:szCs w:val="21"/>
        </w:rPr>
        <w:t>国（境）外</w:t>
      </w:r>
      <w:r>
        <w:rPr>
          <w:rFonts w:cs="Times New Roman" w:asciiTheme="minorEastAsia" w:hAnsiTheme="minorEastAsia"/>
          <w:szCs w:val="21"/>
        </w:rPr>
        <w:t>短期出</w:t>
      </w:r>
      <w:r>
        <w:rPr>
          <w:rFonts w:hint="eastAsia" w:cs="Times New Roman" w:asciiTheme="minorEastAsia" w:hAnsiTheme="minorEastAsia"/>
          <w:szCs w:val="21"/>
        </w:rPr>
        <w:t>访、国际组织实习（三个月以上）；</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4</w:t>
      </w:r>
      <w:r>
        <w:rPr>
          <w:rFonts w:cs="Times New Roman" w:asciiTheme="minorEastAsia" w:hAnsiTheme="minorEastAsia"/>
          <w:szCs w:val="21"/>
        </w:rPr>
        <w:t>）国内外举办的</w:t>
      </w:r>
      <w:r>
        <w:rPr>
          <w:rFonts w:hint="eastAsia" w:cs="Times New Roman" w:asciiTheme="minorEastAsia" w:hAnsiTheme="minorEastAsia"/>
          <w:szCs w:val="21"/>
        </w:rPr>
        <w:t>高水平</w:t>
      </w:r>
      <w:r>
        <w:rPr>
          <w:rFonts w:cs="Times New Roman" w:asciiTheme="minorEastAsia" w:hAnsiTheme="minorEastAsia"/>
          <w:szCs w:val="21"/>
        </w:rPr>
        <w:t>国际</w:t>
      </w:r>
      <w:r>
        <w:rPr>
          <w:rFonts w:hint="eastAsia" w:cs="Times New Roman" w:asciiTheme="minorEastAsia" w:hAnsiTheme="minorEastAsia"/>
          <w:szCs w:val="21"/>
        </w:rPr>
        <w:t>学术</w:t>
      </w:r>
      <w:r>
        <w:rPr>
          <w:rFonts w:cs="Times New Roman" w:asciiTheme="minorEastAsia" w:hAnsiTheme="minorEastAsia"/>
          <w:szCs w:val="21"/>
        </w:rPr>
        <w:t>会议（参加、投稿被书面收录、壁报、小组发言、大会发言，均被认可，但需提供详细的书面证明邀请信、参会照片、收录节选、壁报展示及照片、小组发言或大会发言照片等）；</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5</w:t>
      </w:r>
      <w:r>
        <w:rPr>
          <w:rFonts w:ascii="Times New Roman" w:hAnsi="Times New Roman" w:cs="Times New Roman"/>
          <w:szCs w:val="21"/>
        </w:rPr>
        <w:t>）</w:t>
      </w:r>
      <w:r>
        <w:rPr>
          <w:rFonts w:hint="eastAsia" w:cs="Times New Roman" w:asciiTheme="minorEastAsia" w:hAnsiTheme="minorEastAsia"/>
          <w:szCs w:val="21"/>
        </w:rPr>
        <w:t>选修国外高校全英文在线课程（</w:t>
      </w:r>
      <w:r>
        <w:rPr>
          <w:rFonts w:hint="eastAsia" w:ascii="Times New Roman" w:hAnsi="Times New Roman" w:cs="Times New Roman"/>
          <w:szCs w:val="21"/>
        </w:rPr>
        <w:t>MOOC</w:t>
      </w:r>
      <w:r>
        <w:rPr>
          <w:rFonts w:hint="eastAsia" w:cs="Times New Roman" w:asciiTheme="minorEastAsia" w:hAnsiTheme="minorEastAsia"/>
          <w:szCs w:val="21"/>
        </w:rPr>
        <w:t>），并取得合格证书；</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6</w:t>
      </w:r>
      <w:r>
        <w:rPr>
          <w:rFonts w:cs="Times New Roman" w:asciiTheme="minorEastAsia" w:hAnsiTheme="minorEastAsia"/>
          <w:szCs w:val="21"/>
        </w:rPr>
        <w:t>）</w:t>
      </w:r>
      <w:r>
        <w:rPr>
          <w:rFonts w:hint="eastAsia" w:cs="Times New Roman" w:asciiTheme="minorEastAsia" w:hAnsiTheme="minorEastAsia"/>
          <w:szCs w:val="21"/>
        </w:rPr>
        <w:t>参加国际专业竞赛并获奖。</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6．文献</w:t>
      </w:r>
      <w:r>
        <w:rPr>
          <w:rFonts w:ascii="Times New Roman" w:hAnsi="Times New Roman" w:eastAsia="宋体" w:cs="Times New Roman"/>
          <w:b/>
          <w:bCs/>
          <w:szCs w:val="21"/>
        </w:rPr>
        <w:t>阅读</w:t>
      </w:r>
    </w:p>
    <w:p>
      <w:pPr>
        <w:keepNext w:val="0"/>
        <w:keepLines w:val="0"/>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博士研究生</w:t>
      </w:r>
      <w:r>
        <w:rPr>
          <w:rFonts w:ascii="Times New Roman" w:hAnsi="Times New Roman" w:eastAsia="宋体" w:cs="Times New Roman"/>
          <w:szCs w:val="21"/>
        </w:rPr>
        <w:t>在第</w:t>
      </w:r>
      <w:r>
        <w:rPr>
          <w:rFonts w:hint="eastAsia" w:ascii="Times New Roman" w:hAnsi="Times New Roman" w:eastAsia="宋体" w:cs="Times New Roman"/>
          <w:szCs w:val="21"/>
        </w:rPr>
        <w:t>三</w:t>
      </w:r>
      <w:r>
        <w:rPr>
          <w:rFonts w:ascii="Times New Roman" w:hAnsi="Times New Roman" w:eastAsia="宋体" w:cs="Times New Roman"/>
          <w:szCs w:val="21"/>
        </w:rPr>
        <w:t>学</w:t>
      </w:r>
      <w:r>
        <w:rPr>
          <w:rFonts w:hint="eastAsia" w:ascii="Times New Roman" w:hAnsi="Times New Roman" w:eastAsia="宋体" w:cs="Times New Roman"/>
          <w:szCs w:val="21"/>
        </w:rPr>
        <w:t>期</w:t>
      </w:r>
      <w:r>
        <w:rPr>
          <w:rFonts w:ascii="Times New Roman" w:hAnsi="Times New Roman" w:eastAsia="宋体" w:cs="Times New Roman"/>
          <w:szCs w:val="21"/>
        </w:rPr>
        <w:t>完成</w:t>
      </w:r>
      <w:r>
        <w:rPr>
          <w:rFonts w:hint="eastAsia" w:ascii="Times New Roman" w:hAnsi="Times New Roman" w:eastAsia="宋体" w:cs="Times New Roman"/>
          <w:szCs w:val="21"/>
        </w:rPr>
        <w:t>文献阅读</w:t>
      </w:r>
      <w:r>
        <w:rPr>
          <w:rFonts w:ascii="Times New Roman" w:hAnsi="Times New Roman" w:eastAsia="宋体" w:cs="Times New Roman"/>
          <w:szCs w:val="21"/>
        </w:rPr>
        <w:t>考核</w:t>
      </w:r>
      <w:r>
        <w:rPr>
          <w:rFonts w:hint="eastAsia" w:ascii="Times New Roman" w:hAnsi="Times New Roman" w:eastAsia="宋体" w:cs="Times New Roman"/>
          <w:szCs w:val="21"/>
        </w:rPr>
        <w:t>。</w:t>
      </w:r>
    </w:p>
    <w:p>
      <w:pPr>
        <w:keepNext w:val="0"/>
        <w:keepLines w:val="0"/>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文献阅读是引领研究生特别是博士生夯实学术根基、迅速进入学科专业研究领域和培养研究生科研素养的重要手段，是课程知识扩展和补充的重要方式。学生入学后</w:t>
      </w:r>
      <w:r>
        <w:rPr>
          <w:rFonts w:ascii="Times New Roman" w:hAnsi="Times New Roman" w:eastAsia="宋体" w:cs="Times New Roman"/>
          <w:szCs w:val="21"/>
        </w:rPr>
        <w:t>结合学科发展和论文研究方向，在导师指导下阅读国内外文献资料。</w:t>
      </w:r>
      <w:r>
        <w:rPr>
          <w:rFonts w:hint="eastAsia" w:ascii="Times New Roman" w:hAnsi="Times New Roman" w:eastAsia="宋体" w:cs="Times New Roman"/>
          <w:szCs w:val="21"/>
        </w:rPr>
        <w:t>考核形式采用提交文献综述形式（要求字数不少于</w:t>
      </w:r>
      <w:r>
        <w:rPr>
          <w:rFonts w:ascii="Times New Roman" w:hAnsi="Times New Roman" w:eastAsia="宋体" w:cs="Times New Roman"/>
          <w:szCs w:val="21"/>
        </w:rPr>
        <w:t>5000</w:t>
      </w:r>
      <w:r>
        <w:rPr>
          <w:rFonts w:hint="eastAsia" w:ascii="Times New Roman" w:hAnsi="Times New Roman" w:eastAsia="宋体" w:cs="Times New Roman"/>
          <w:szCs w:val="21"/>
        </w:rPr>
        <w:t>字，参考文献应包含中文文献和外文文献，综述文献不少于</w:t>
      </w:r>
      <w:r>
        <w:rPr>
          <w:rFonts w:ascii="Times New Roman" w:hAnsi="Times New Roman" w:eastAsia="宋体" w:cs="Times New Roman"/>
          <w:szCs w:val="21"/>
        </w:rPr>
        <w:t>60</w:t>
      </w:r>
      <w:r>
        <w:rPr>
          <w:rFonts w:hint="eastAsia" w:ascii="Times New Roman" w:hAnsi="Times New Roman" w:eastAsia="宋体" w:cs="Times New Roman"/>
          <w:szCs w:val="21"/>
        </w:rPr>
        <w:t>篇），导师签字确认后提交，学院组织评审专家对综述报告的选题、格式、内容以及书面表达能力等进行评审，审核通过者，记</w:t>
      </w:r>
      <w:r>
        <w:rPr>
          <w:rFonts w:ascii="Times New Roman" w:hAnsi="Times New Roman" w:eastAsia="宋体" w:cs="Times New Roman"/>
          <w:szCs w:val="21"/>
        </w:rPr>
        <w:t>2</w:t>
      </w:r>
      <w:r>
        <w:rPr>
          <w:rFonts w:hint="eastAsia" w:ascii="Times New Roman" w:hAnsi="Times New Roman" w:eastAsia="宋体" w:cs="Times New Roman"/>
          <w:szCs w:val="21"/>
        </w:rPr>
        <w:t>学分。审核未通过者，按照专家审核意见完成修改后提交学院进行二次评审。经两次审核都未通过者，不记入学分。考核工作由医学部各学院统一安排。</w:t>
      </w:r>
    </w:p>
    <w:p>
      <w:pPr>
        <w:keepNext w:val="0"/>
        <w:keepLines w:val="0"/>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文献阅读考核需在博士生中期考核前完成考核。</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7</w:t>
      </w:r>
      <w:r>
        <w:rPr>
          <w:rFonts w:hint="eastAsia" w:ascii="Times New Roman" w:hAnsi="Times New Roman" w:eastAsia="宋体" w:cs="Times New Roman"/>
          <w:b/>
          <w:bCs/>
          <w:szCs w:val="21"/>
        </w:rPr>
        <w:t>．</w:t>
      </w:r>
      <w:r>
        <w:rPr>
          <w:rFonts w:ascii="Times New Roman" w:hAnsi="Times New Roman" w:eastAsia="宋体" w:cs="Times New Roman"/>
          <w:b/>
          <w:bCs/>
          <w:szCs w:val="21"/>
        </w:rPr>
        <w:t>开题报告</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硕博连读生，硕士阶段第二学年内完成博士资格考核，在进入博士阶段第一学年内完成开题报告；直博生，在第二学年内完成开题报告。</w:t>
      </w:r>
      <w:r>
        <w:rPr>
          <w:rFonts w:hint="eastAsia" w:cs="Times New Roman" w:asciiTheme="minorEastAsia" w:hAnsiTheme="minorEastAsia"/>
          <w:szCs w:val="21"/>
        </w:rPr>
        <w:t>具体时间由导师或院系决定，并上报学院（系）教学管理部门备案。从开题报告通过至申请论文答辩的时间一般不少于一年。开题报告由医学部各学院（系）组织，应以学术活动的形式在学院（系）内公开进行，并邀请相关教师和研究生参加。各学院（系）邀请本学院督导列席旁听并打分。开题报告评审专家小组由3-5名校内外博士生导师组成（导师及导师团队成员为主体）。考查内容包括：文献综述、选题意义与科学依据、研究基础、研究内容与计划、工作难点及特色、预期成果以及可能产生的创新点、论文选题与学科的匹配度等。经评审通过的开题报告，须以书面形式交医学部人才培养处审核备案。</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8</w:t>
      </w:r>
      <w:r>
        <w:rPr>
          <w:rFonts w:hint="eastAsia" w:ascii="Times New Roman" w:hAnsi="Times New Roman" w:eastAsia="宋体" w:cs="Times New Roman"/>
          <w:b/>
          <w:bCs/>
          <w:szCs w:val="21"/>
        </w:rPr>
        <w:t>．</w:t>
      </w:r>
      <w:r>
        <w:rPr>
          <w:rFonts w:ascii="Times New Roman" w:hAnsi="Times New Roman" w:eastAsia="宋体" w:cs="Times New Roman"/>
          <w:b/>
          <w:bCs/>
          <w:szCs w:val="21"/>
        </w:rPr>
        <w:t>中期考核</w:t>
      </w:r>
    </w:p>
    <w:p>
      <w:pPr>
        <w:keepNext w:val="0"/>
        <w:keepLines w:val="0"/>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中期考核一般安排在第四学期（贯通培养研究生转为博士生培养后可在第三学期，以直攻博方式进入贯通式培养体系的学生，自第三学年起至第四学年末完成中期考核）进行。中期考核由院系组织，应以学术活动的形式公开进行，考核小组由5-7名本学科或相关学科博士生导师组成。中期考核内容包括：学科基础综合考试（含学科基础文献集阅读）、业务表现与论文工作进展、论文选题与学科的匹配度、综合能力等方面。研究生提交由导师签字的课程成绩、课题研究进展报告等书面材料后，方可参加中期考核。中期考核所有评审材料，须在医学部人才培养处审核备案。</w:t>
      </w:r>
    </w:p>
    <w:p>
      <w:pPr>
        <w:keepNext w:val="0"/>
        <w:keepLines w:val="0"/>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博士研究生应按时参加中期考核，如有特殊情况需延期参加，须本人申请并获得批准后参加补考核，具体时间由医学部人才培养处确定。</w:t>
      </w:r>
    </w:p>
    <w:p>
      <w:pPr>
        <w:keepNext w:val="0"/>
        <w:keepLines w:val="0"/>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中期考核具体要求参照《西安交通大学关于博士研究生中期考核的若干规定》（西交研〔2014〕25号）执行。</w:t>
      </w:r>
    </w:p>
    <w:p>
      <w:pPr>
        <w:keepNext w:val="0"/>
        <w:keepLines w:val="0"/>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研究生的开题报告和中期报告中应包含实验安全风险评估的内容。</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9</w:t>
      </w:r>
      <w:r>
        <w:rPr>
          <w:rFonts w:hint="eastAsia" w:ascii="Times New Roman" w:hAnsi="Times New Roman" w:eastAsia="宋体" w:cs="Times New Roman"/>
          <w:b/>
          <w:bCs/>
          <w:szCs w:val="21"/>
        </w:rPr>
        <w:t>．</w:t>
      </w:r>
      <w:r>
        <w:rPr>
          <w:rFonts w:ascii="Times New Roman" w:hAnsi="Times New Roman" w:eastAsia="宋体" w:cs="Times New Roman"/>
          <w:b/>
          <w:bCs/>
          <w:szCs w:val="21"/>
        </w:rPr>
        <w:t>最终学术报告（预答辩）</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硕博贯通研究生完成学位论文后，须在医学部或医学部各院（系）范围内进行公开预答辩，报告自己的研究成果。预答辩专家组由5名本学科或相关学科专家组成，其中至少3人为博士生导师。各学院（系）邀请本学院督导或相关学科专家列席旁听。在预答辩中，须严格审查论文选题的前沿性、理论及现实意义，学位论文是否有独立见解，学位论文的工作量，研究工作的系统性、完整性，论文选题与学科的匹配度等。</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对预答辩中提出的问题，研究生应认真修改与补充，填写修改说明表，经导师签字同意并报预答辩专家组组长签字同意后，方可进入论文评阅、答辩环节。对于未获得通过的学位论文，博士研究生应修改后重新进行预答辩。</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对于未获得通过和</w:t>
      </w:r>
      <w:r>
        <w:rPr>
          <w:rFonts w:cs="Times New Roman" w:asciiTheme="minorEastAsia" w:hAnsiTheme="minorEastAsia"/>
          <w:szCs w:val="21"/>
        </w:rPr>
        <w:t>问题较多的学位论文要经过研究生修改后重新组织预答辩。</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预答辩具体参照《西安交通大学学位授予工作暂行办法》（西交研〔2003〕14号）执行。</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bCs/>
          <w:szCs w:val="21"/>
        </w:rPr>
      </w:pPr>
      <w:r>
        <w:rPr>
          <w:rFonts w:ascii="Times New Roman" w:hAnsi="Times New Roman" w:eastAsia="宋体"/>
          <w:bCs/>
          <w:szCs w:val="21"/>
        </w:rPr>
        <w:t>10.体育、美育、劳动教育</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Times New Roman" w:hAnsi="Times New Roman" w:eastAsia="宋体"/>
          <w:bCs/>
          <w:szCs w:val="21"/>
        </w:rPr>
      </w:pPr>
      <w:r>
        <w:rPr>
          <w:rFonts w:hint="eastAsia" w:ascii="Times New Roman" w:hAnsi="Times New Roman" w:eastAsia="宋体"/>
          <w:bCs/>
          <w:szCs w:val="21"/>
        </w:rPr>
        <w:t>研究生依据当年的体育、美育、劳动教育研修指南，结合个人兴趣爱好和培养计划安排，制定个人体育、美育、劳动教育环节研修计划并开展研修，由体育、美育、劳动教育牵头单位对环节是否“通过”给予认定。</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11</w:t>
      </w:r>
      <w:r>
        <w:rPr>
          <w:rFonts w:hint="eastAsia" w:ascii="Times New Roman" w:hAnsi="Times New Roman" w:eastAsia="宋体" w:cs="Times New Roman"/>
          <w:b/>
          <w:bCs/>
          <w:szCs w:val="21"/>
        </w:rPr>
        <w:t>．</w:t>
      </w:r>
      <w:r>
        <w:rPr>
          <w:rFonts w:ascii="Times New Roman" w:hAnsi="Times New Roman" w:eastAsia="宋体" w:cs="Times New Roman"/>
          <w:b/>
          <w:bCs/>
          <w:szCs w:val="21"/>
        </w:rPr>
        <w:t>学术论文</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硕博贯通研究生</w:t>
      </w:r>
      <w:r>
        <w:rPr>
          <w:rFonts w:cs="Times New Roman" w:asciiTheme="minorEastAsia" w:hAnsiTheme="minorEastAsia"/>
          <w:szCs w:val="21"/>
        </w:rPr>
        <w:t>应在导师的指导下，根据研究方向确定研究课题，课题需结合国民经济发展需求和学科发展趋势，具有前瞻性和理论价值，达到本学科前沿，博士研究生应独立完成具有一定学术水平和价值的学位论文。论文答辩</w:t>
      </w:r>
      <w:r>
        <w:rPr>
          <w:rFonts w:hint="eastAsia" w:cs="Times New Roman" w:asciiTheme="minorEastAsia" w:hAnsiTheme="minorEastAsia"/>
          <w:szCs w:val="21"/>
        </w:rPr>
        <w:t>具体参照</w:t>
      </w:r>
      <w:r>
        <w:rPr>
          <w:rFonts w:cs="Times New Roman" w:asciiTheme="minorEastAsia" w:hAnsiTheme="minorEastAsia"/>
          <w:szCs w:val="21"/>
        </w:rPr>
        <w:t>《西安交通大学学位授予工作暂行办法》（西交研〔2003〕14号）执行。</w:t>
      </w:r>
    </w:p>
    <w:bookmarkEnd w:id="376"/>
    <w:bookmarkEnd w:id="377"/>
    <w:p>
      <w:pPr>
        <w:keepNext w:val="0"/>
        <w:keepLines w:val="0"/>
        <w:pageBreakBefore w:val="0"/>
        <w:widowControl w:val="0"/>
        <w:kinsoku/>
        <w:wordWrap/>
        <w:overflowPunct/>
        <w:topLinePunct w:val="0"/>
        <w:autoSpaceDE/>
        <w:autoSpaceDN/>
        <w:bidi w:val="0"/>
        <w:spacing w:before="95" w:beforeLines="30" w:after="95" w:afterLines="30" w:line="300" w:lineRule="auto"/>
        <w:textAlignment w:val="auto"/>
        <w:rPr>
          <w:rFonts w:ascii="黑体" w:hAnsi="黑体" w:eastAsia="黑体"/>
          <w:sz w:val="24"/>
          <w:szCs w:val="24"/>
        </w:rPr>
      </w:pPr>
      <w:bookmarkStart w:id="378" w:name="_Toc520822656"/>
      <w:bookmarkStart w:id="379" w:name="_Toc519846436"/>
      <w:r>
        <w:rPr>
          <w:rFonts w:hint="eastAsia" w:ascii="黑体" w:hAnsi="黑体" w:eastAsia="黑体"/>
          <w:sz w:val="24"/>
          <w:szCs w:val="24"/>
        </w:rPr>
        <w:t>七</w:t>
      </w:r>
      <w:r>
        <w:rPr>
          <w:rFonts w:ascii="黑体" w:hAnsi="黑体" w:eastAsia="黑体"/>
          <w:sz w:val="24"/>
          <w:szCs w:val="24"/>
        </w:rPr>
        <w:t>、分流机制</w:t>
      </w:r>
      <w:bookmarkEnd w:id="378"/>
      <w:bookmarkEnd w:id="379"/>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bCs/>
          <w:szCs w:val="21"/>
        </w:rPr>
      </w:pPr>
      <w:r>
        <w:rPr>
          <w:rFonts w:cs="Times New Roman" w:asciiTheme="minorEastAsia" w:hAnsiTheme="minorEastAsia"/>
          <w:bCs/>
          <w:szCs w:val="21"/>
        </w:rPr>
        <w:t>硕博连读生未通过博士资格考核或审核的，按硕士研究生进行培养，最长年限为三学年；直博生未通过博士中期考核或因其他原因需停止按博士培养而转回硕士培养的，需在半年之内完成硕士培养要求，申请硕士毕业和学位。</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bCs/>
          <w:sz w:val="24"/>
          <w:szCs w:val="24"/>
        </w:rPr>
      </w:pPr>
      <w:r>
        <w:rPr>
          <w:rFonts w:cs="Times New Roman" w:asciiTheme="minorEastAsia" w:hAnsiTheme="minorEastAsia"/>
          <w:bCs/>
          <w:szCs w:val="21"/>
        </w:rPr>
        <w:t>硕博贯通研究生申请硕士学位的</w:t>
      </w:r>
      <w:r>
        <w:rPr>
          <w:rFonts w:hint="eastAsia" w:cs="Times New Roman" w:asciiTheme="minorEastAsia" w:hAnsiTheme="minorEastAsia"/>
          <w:bCs/>
          <w:szCs w:val="21"/>
        </w:rPr>
        <w:t>需修满29学分</w:t>
      </w:r>
      <w:r>
        <w:rPr>
          <w:rFonts w:cs="Times New Roman" w:asciiTheme="minorEastAsia" w:hAnsiTheme="minorEastAsia"/>
          <w:bCs/>
          <w:szCs w:val="21"/>
        </w:rPr>
        <w:t>。</w:t>
      </w:r>
      <w:r>
        <w:rPr>
          <w:rFonts w:hint="eastAsia" w:cs="Times New Roman" w:asciiTheme="minorEastAsia" w:hAnsiTheme="minorEastAsia"/>
          <w:bCs/>
          <w:szCs w:val="21"/>
        </w:rPr>
        <w:t>其中课程学习23学分</w:t>
      </w:r>
      <w:r>
        <w:rPr>
          <w:rFonts w:cs="Times New Roman" w:asciiTheme="minorEastAsia" w:hAnsiTheme="minorEastAsia"/>
          <w:bCs/>
          <w:szCs w:val="21"/>
        </w:rPr>
        <w:t>、必修环节</w:t>
      </w:r>
      <w:r>
        <w:rPr>
          <w:rFonts w:hint="eastAsia" w:cs="Times New Roman" w:asciiTheme="minorEastAsia" w:hAnsiTheme="minorEastAsia"/>
          <w:bCs/>
          <w:szCs w:val="21"/>
        </w:rPr>
        <w:t>6学分。</w:t>
      </w:r>
    </w:p>
    <w:p>
      <w:pPr>
        <w:spacing w:before="360" w:after="360" w:line="286" w:lineRule="auto"/>
        <w:jc w:val="center"/>
        <w:rPr>
          <w:rFonts w:ascii="楷体_GB2312" w:hAnsi="Times New Roman" w:eastAsia="楷体_GB2312" w:cs="Times New Roman"/>
          <w:b/>
          <w:bCs/>
          <w:sz w:val="28"/>
          <w:szCs w:val="28"/>
        </w:rPr>
      </w:pPr>
      <w:bookmarkStart w:id="380" w:name="_Toc508811185"/>
      <w:bookmarkStart w:id="381" w:name="_Toc500683449"/>
      <w:bookmarkStart w:id="382" w:name="_Toc500665685"/>
      <w:bookmarkStart w:id="383" w:name="_Toc508210282"/>
      <w:bookmarkStart w:id="384" w:name="_Toc500668312"/>
      <w:bookmarkStart w:id="385" w:name="_Toc508119595"/>
      <w:r>
        <w:rPr>
          <w:rFonts w:hint="eastAsia" w:ascii="楷体_GB2312" w:hAnsi="Times New Roman" w:eastAsia="楷体_GB2312" w:cs="Times New Roman"/>
          <w:b/>
          <w:bCs/>
          <w:sz w:val="28"/>
          <w:szCs w:val="28"/>
        </w:rPr>
        <w:t>★基础医学（1001）硕士博士贯通式研究生培养方案</w:t>
      </w:r>
      <w:bookmarkEnd w:id="380"/>
      <w:bookmarkEnd w:id="381"/>
      <w:bookmarkEnd w:id="382"/>
      <w:bookmarkEnd w:id="383"/>
      <w:bookmarkEnd w:id="384"/>
      <w:bookmarkEnd w:id="385"/>
    </w:p>
    <w:p>
      <w:pPr>
        <w:keepNext w:val="0"/>
        <w:keepLines w:val="0"/>
        <w:pageBreakBefore w:val="0"/>
        <w:widowControl w:val="0"/>
        <w:kinsoku/>
        <w:wordWrap/>
        <w:overflowPunct/>
        <w:topLinePunct w:val="0"/>
        <w:autoSpaceDE/>
        <w:autoSpaceDN/>
        <w:bidi w:val="0"/>
        <w:spacing w:before="95" w:beforeLines="30" w:after="95" w:afterLines="30" w:line="300" w:lineRule="auto"/>
        <w:ind w:firstLine="480" w:firstLineChars="200"/>
        <w:textAlignment w:val="auto"/>
        <w:rPr>
          <w:rFonts w:ascii="黑体" w:hAnsi="黑体" w:eastAsia="黑体"/>
          <w:sz w:val="24"/>
          <w:szCs w:val="24"/>
        </w:rPr>
      </w:pPr>
      <w:bookmarkStart w:id="386" w:name="_Toc520822657"/>
      <w:bookmarkStart w:id="387" w:name="_Toc519846437"/>
      <w:r>
        <w:rPr>
          <w:rFonts w:ascii="黑体" w:hAnsi="黑体" w:eastAsia="黑体"/>
          <w:sz w:val="24"/>
          <w:szCs w:val="24"/>
        </w:rPr>
        <w:t>一、培养目标</w:t>
      </w:r>
      <w:bookmarkEnd w:id="386"/>
      <w:bookmarkEnd w:id="387"/>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bookmarkStart w:id="388" w:name="_Toc520822658"/>
      <w:bookmarkStart w:id="389" w:name="_Toc519846438"/>
      <w:r>
        <w:rPr>
          <w:rFonts w:cs="Times New Roman" w:asciiTheme="minorEastAsia" w:hAnsiTheme="minorEastAsia"/>
          <w:szCs w:val="21"/>
        </w:rPr>
        <w:t>秉承“扎根西部、服务国家、区域引领、世界一流”的办学定位，</w:t>
      </w:r>
      <w:r>
        <w:rPr>
          <w:rFonts w:hint="eastAsia" w:cs="Times New Roman" w:asciiTheme="minorEastAsia" w:hAnsiTheme="minorEastAsia"/>
          <w:szCs w:val="21"/>
        </w:rPr>
        <w:t>基础医学硕博贯通式研究生培养目标为：</w:t>
      </w:r>
      <w:r>
        <w:rPr>
          <w:rFonts w:cs="Times New Roman" w:asciiTheme="minorEastAsia" w:hAnsiTheme="minorEastAsia"/>
          <w:szCs w:val="21"/>
        </w:rPr>
        <w:t>以科研创新能力培养为主，坚持德智体美</w:t>
      </w:r>
      <w:r>
        <w:rPr>
          <w:rFonts w:hint="eastAsia" w:cs="Times New Roman" w:asciiTheme="minorEastAsia" w:hAnsiTheme="minorEastAsia"/>
          <w:szCs w:val="21"/>
        </w:rPr>
        <w:t>劳</w:t>
      </w:r>
      <w:r>
        <w:rPr>
          <w:rFonts w:cs="Times New Roman" w:asciiTheme="minorEastAsia" w:hAnsiTheme="minorEastAsia"/>
          <w:szCs w:val="21"/>
        </w:rPr>
        <w:t>全面发展，培养造就具有</w:t>
      </w:r>
      <w:r>
        <w:rPr>
          <w:rFonts w:hint="eastAsia" w:cs="Times New Roman" w:asciiTheme="minorEastAsia" w:hAnsiTheme="minorEastAsia"/>
          <w:szCs w:val="21"/>
        </w:rPr>
        <w:t>强烈</w:t>
      </w:r>
      <w:r>
        <w:rPr>
          <w:rFonts w:cs="Times New Roman" w:asciiTheme="minorEastAsia" w:hAnsiTheme="minorEastAsia"/>
          <w:szCs w:val="21"/>
        </w:rPr>
        <w:t>社会责任感</w:t>
      </w:r>
      <w:r>
        <w:rPr>
          <w:rFonts w:hint="eastAsia" w:cs="Times New Roman" w:asciiTheme="minorEastAsia" w:hAnsiTheme="minorEastAsia"/>
          <w:szCs w:val="21"/>
        </w:rPr>
        <w:t>的基础</w:t>
      </w:r>
      <w:r>
        <w:rPr>
          <w:rFonts w:cs="Times New Roman" w:asciiTheme="minorEastAsia" w:hAnsiTheme="minorEastAsia"/>
          <w:szCs w:val="21"/>
        </w:rPr>
        <w:t>医学研究领域德才兼备的高层次创新型人才。具体要求是：</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 xml:space="preserve">1. </w:t>
      </w:r>
      <w:r>
        <w:rPr>
          <w:rFonts w:hint="eastAsia" w:cs="Times New Roman" w:asciiTheme="minorEastAsia" w:hAnsiTheme="minorEastAsia"/>
          <w:szCs w:val="21"/>
        </w:rPr>
        <w:t>掌握马克思主义基本原理，学习和贯彻习近平新时代中国特色社会主义思想和系列重要讲话精神，坚定道路自信、理论自信、制度自信、文化自信。热爱祖国，</w:t>
      </w:r>
      <w:r>
        <w:rPr>
          <w:rFonts w:cs="Times New Roman" w:asciiTheme="minorEastAsia" w:hAnsiTheme="minorEastAsia"/>
          <w:szCs w:val="21"/>
        </w:rPr>
        <w:t>遵纪守法</w:t>
      </w:r>
      <w:r>
        <w:rPr>
          <w:rFonts w:hint="eastAsia" w:cs="Times New Roman" w:asciiTheme="minorEastAsia" w:hAnsiTheme="minorEastAsia"/>
          <w:szCs w:val="21"/>
        </w:rPr>
        <w:t>，</w:t>
      </w:r>
      <w:r>
        <w:rPr>
          <w:rFonts w:cs="Times New Roman" w:asciiTheme="minorEastAsia" w:hAnsiTheme="minorEastAsia"/>
          <w:szCs w:val="21"/>
        </w:rPr>
        <w:t>品德</w:t>
      </w:r>
      <w:r>
        <w:rPr>
          <w:rFonts w:hint="eastAsia" w:cs="Times New Roman" w:asciiTheme="minorEastAsia" w:hAnsiTheme="minorEastAsia"/>
          <w:szCs w:val="21"/>
        </w:rPr>
        <w:t>优</w:t>
      </w:r>
      <w:r>
        <w:rPr>
          <w:rFonts w:cs="Times New Roman" w:asciiTheme="minorEastAsia" w:hAnsiTheme="minorEastAsia"/>
          <w:szCs w:val="21"/>
        </w:rPr>
        <w:t>良，治学严谨，</w:t>
      </w:r>
      <w:r>
        <w:rPr>
          <w:rFonts w:hint="eastAsia" w:cs="Times New Roman" w:asciiTheme="minorEastAsia" w:hAnsiTheme="minorEastAsia"/>
          <w:szCs w:val="21"/>
        </w:rPr>
        <w:t>学风端正，</w:t>
      </w:r>
      <w:r>
        <w:rPr>
          <w:rFonts w:cs="Times New Roman" w:asciiTheme="minorEastAsia" w:hAnsiTheme="minorEastAsia"/>
          <w:szCs w:val="21"/>
        </w:rPr>
        <w:t>有献身于</w:t>
      </w:r>
      <w:r>
        <w:rPr>
          <w:rFonts w:hint="eastAsia" w:cs="Times New Roman" w:asciiTheme="minorEastAsia" w:hAnsiTheme="minorEastAsia"/>
          <w:szCs w:val="21"/>
        </w:rPr>
        <w:t>基础医学</w:t>
      </w:r>
      <w:r>
        <w:rPr>
          <w:rFonts w:cs="Times New Roman" w:asciiTheme="minorEastAsia" w:hAnsiTheme="minorEastAsia"/>
          <w:szCs w:val="21"/>
        </w:rPr>
        <w:t>科学研究的强烈事业心和创新精神</w:t>
      </w:r>
      <w:r>
        <w:rPr>
          <w:rFonts w:hint="eastAsia" w:cs="Times New Roman" w:asciiTheme="minorEastAsia" w:hAnsiTheme="minorEastAsia"/>
          <w:szCs w:val="21"/>
        </w:rPr>
        <w:t>。</w:t>
      </w:r>
      <w:r>
        <w:rPr>
          <w:rFonts w:cs="Times New Roman" w:asciiTheme="minorEastAsia" w:hAnsiTheme="minorEastAsia"/>
          <w:szCs w:val="21"/>
        </w:rPr>
        <w:t>具有健康的体魄和良好的心理素质</w:t>
      </w:r>
      <w:r>
        <w:rPr>
          <w:rFonts w:hint="eastAsia" w:cs="Times New Roman" w:asciiTheme="minorEastAsia" w:hAnsiTheme="minorEastAsia"/>
          <w:szCs w:val="21"/>
        </w:rPr>
        <w:t>，愿积极为祖国医学事业发展贡献自己的才智</w:t>
      </w:r>
      <w:r>
        <w:rPr>
          <w:rFonts w:cs="Times New Roman" w:asciiTheme="minorEastAsia" w:hAnsiTheme="minorEastAsia"/>
          <w:szCs w:val="21"/>
        </w:rPr>
        <w:t>。</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2. 具</w:t>
      </w:r>
      <w:r>
        <w:rPr>
          <w:rFonts w:hint="eastAsia" w:cs="Times New Roman" w:asciiTheme="minorEastAsia" w:hAnsiTheme="minorEastAsia"/>
          <w:szCs w:val="21"/>
        </w:rPr>
        <w:t>备</w:t>
      </w:r>
      <w:r>
        <w:rPr>
          <w:rFonts w:cs="Times New Roman" w:asciiTheme="minorEastAsia" w:hAnsiTheme="minorEastAsia"/>
          <w:szCs w:val="21"/>
        </w:rPr>
        <w:t>扎实的基础理论，掌握</w:t>
      </w:r>
      <w:r>
        <w:rPr>
          <w:rFonts w:hint="eastAsia" w:cs="Times New Roman" w:asciiTheme="minorEastAsia" w:hAnsiTheme="minorEastAsia"/>
          <w:szCs w:val="21"/>
        </w:rPr>
        <w:t>本学科的</w:t>
      </w:r>
      <w:r>
        <w:rPr>
          <w:rFonts w:cs="Times New Roman" w:asciiTheme="minorEastAsia" w:hAnsiTheme="minorEastAsia"/>
          <w:szCs w:val="21"/>
        </w:rPr>
        <w:t>专业</w:t>
      </w:r>
      <w:r>
        <w:rPr>
          <w:rFonts w:hint="eastAsia" w:cs="Times New Roman" w:asciiTheme="minorEastAsia" w:hAnsiTheme="minorEastAsia"/>
          <w:szCs w:val="21"/>
        </w:rPr>
        <w:t>基本</w:t>
      </w:r>
      <w:r>
        <w:rPr>
          <w:rFonts w:cs="Times New Roman" w:asciiTheme="minorEastAsia" w:hAnsiTheme="minorEastAsia"/>
          <w:szCs w:val="21"/>
        </w:rPr>
        <w:t>知识和</w:t>
      </w:r>
      <w:r>
        <w:rPr>
          <w:rFonts w:hint="eastAsia" w:cs="Times New Roman" w:asciiTheme="minorEastAsia" w:hAnsiTheme="minorEastAsia"/>
          <w:szCs w:val="21"/>
        </w:rPr>
        <w:t>基本技能。</w:t>
      </w:r>
      <w:r>
        <w:rPr>
          <w:rFonts w:cs="Times New Roman" w:asciiTheme="minorEastAsia" w:hAnsiTheme="minorEastAsia"/>
          <w:szCs w:val="21"/>
        </w:rPr>
        <w:t>能熟练应用各种</w:t>
      </w:r>
      <w:r>
        <w:rPr>
          <w:rFonts w:hint="eastAsia" w:cs="Times New Roman" w:asciiTheme="minorEastAsia" w:hAnsiTheme="minorEastAsia"/>
          <w:szCs w:val="21"/>
        </w:rPr>
        <w:t>医学</w:t>
      </w:r>
      <w:r>
        <w:rPr>
          <w:rFonts w:cs="Times New Roman" w:asciiTheme="minorEastAsia" w:hAnsiTheme="minorEastAsia"/>
          <w:szCs w:val="21"/>
        </w:rPr>
        <w:t>数据库</w:t>
      </w:r>
      <w:r>
        <w:rPr>
          <w:rFonts w:hint="eastAsia" w:cs="Times New Roman" w:asciiTheme="minorEastAsia" w:hAnsiTheme="minorEastAsia"/>
          <w:szCs w:val="21"/>
        </w:rPr>
        <w:t>，掌握</w:t>
      </w:r>
      <w:r>
        <w:rPr>
          <w:rFonts w:cs="Times New Roman" w:asciiTheme="minorEastAsia" w:hAnsiTheme="minorEastAsia"/>
          <w:szCs w:val="21"/>
        </w:rPr>
        <w:t>文献检索</w:t>
      </w:r>
      <w:r>
        <w:rPr>
          <w:rFonts w:hint="eastAsia" w:cs="Times New Roman" w:asciiTheme="minorEastAsia" w:hAnsiTheme="minorEastAsia"/>
          <w:szCs w:val="21"/>
        </w:rPr>
        <w:t>和管理。</w:t>
      </w:r>
      <w:r>
        <w:rPr>
          <w:rFonts w:cs="Times New Roman" w:asciiTheme="minorEastAsia" w:hAnsiTheme="minorEastAsia"/>
          <w:szCs w:val="21"/>
        </w:rPr>
        <w:t>能熟练地阅读本专业的外文资料，具有一定的</w:t>
      </w:r>
      <w:r>
        <w:rPr>
          <w:rFonts w:hint="eastAsia" w:cs="Times New Roman" w:asciiTheme="minorEastAsia" w:hAnsiTheme="minorEastAsia"/>
          <w:szCs w:val="21"/>
        </w:rPr>
        <w:t>外</w:t>
      </w:r>
      <w:r>
        <w:rPr>
          <w:rFonts w:cs="Times New Roman" w:asciiTheme="minorEastAsia" w:hAnsiTheme="minorEastAsia"/>
          <w:szCs w:val="21"/>
        </w:rPr>
        <w:t>文写作和口语交际能力</w:t>
      </w:r>
      <w:r>
        <w:rPr>
          <w:rFonts w:hint="eastAsia" w:cs="Times New Roman" w:asciiTheme="minorEastAsia" w:hAnsiTheme="minorEastAsia"/>
          <w:szCs w:val="21"/>
        </w:rPr>
        <w:t>。</w:t>
      </w:r>
      <w:r>
        <w:rPr>
          <w:rFonts w:cs="Times New Roman" w:asciiTheme="minorEastAsia" w:hAnsiTheme="minorEastAsia"/>
          <w:szCs w:val="21"/>
        </w:rPr>
        <w:t>具有一定</w:t>
      </w:r>
      <w:r>
        <w:rPr>
          <w:rFonts w:hint="eastAsia" w:cs="Times New Roman" w:asciiTheme="minorEastAsia" w:hAnsiTheme="minorEastAsia"/>
          <w:szCs w:val="21"/>
        </w:rPr>
        <w:t>的人文社会科学</w:t>
      </w:r>
      <w:r>
        <w:rPr>
          <w:rFonts w:cs="Times New Roman" w:asciiTheme="minorEastAsia" w:hAnsiTheme="minorEastAsia"/>
          <w:szCs w:val="21"/>
        </w:rPr>
        <w:t>基本知识。</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3. 具</w:t>
      </w:r>
      <w:r>
        <w:rPr>
          <w:rFonts w:hint="eastAsia" w:cs="Times New Roman" w:asciiTheme="minorEastAsia" w:hAnsiTheme="minorEastAsia"/>
          <w:szCs w:val="21"/>
        </w:rPr>
        <w:t>备</w:t>
      </w:r>
      <w:r>
        <w:rPr>
          <w:rFonts w:cs="Times New Roman" w:asciiTheme="minorEastAsia" w:hAnsiTheme="minorEastAsia"/>
          <w:szCs w:val="21"/>
        </w:rPr>
        <w:t>主动获取知识的意识</w:t>
      </w:r>
      <w:r>
        <w:rPr>
          <w:rFonts w:hint="eastAsia" w:cs="Times New Roman" w:asciiTheme="minorEastAsia" w:hAnsiTheme="minorEastAsia"/>
          <w:szCs w:val="21"/>
        </w:rPr>
        <w:t>和能力</w:t>
      </w:r>
      <w:r>
        <w:rPr>
          <w:rFonts w:cs="Times New Roman" w:asciiTheme="minorEastAsia" w:hAnsiTheme="minorEastAsia"/>
          <w:szCs w:val="21"/>
        </w:rPr>
        <w:t>，</w:t>
      </w:r>
      <w:r>
        <w:rPr>
          <w:rFonts w:hint="eastAsia" w:cs="Times New Roman" w:asciiTheme="minorEastAsia" w:hAnsiTheme="minorEastAsia"/>
          <w:szCs w:val="21"/>
        </w:rPr>
        <w:t>能</w:t>
      </w:r>
      <w:r>
        <w:rPr>
          <w:rFonts w:cs="Times New Roman" w:asciiTheme="minorEastAsia" w:hAnsiTheme="minorEastAsia"/>
          <w:szCs w:val="21"/>
        </w:rPr>
        <w:t>综合运用</w:t>
      </w:r>
      <w:r>
        <w:rPr>
          <w:rFonts w:hint="eastAsia" w:cs="Times New Roman" w:asciiTheme="minorEastAsia" w:hAnsiTheme="minorEastAsia"/>
          <w:szCs w:val="21"/>
        </w:rPr>
        <w:t>基础医学</w:t>
      </w:r>
      <w:r>
        <w:rPr>
          <w:rFonts w:cs="Times New Roman" w:asciiTheme="minorEastAsia" w:hAnsiTheme="minorEastAsia"/>
          <w:szCs w:val="21"/>
        </w:rPr>
        <w:t>理论知识和研究</w:t>
      </w:r>
      <w:r>
        <w:rPr>
          <w:rFonts w:hint="eastAsia" w:cs="Times New Roman" w:asciiTheme="minorEastAsia" w:hAnsiTheme="minorEastAsia"/>
          <w:szCs w:val="21"/>
        </w:rPr>
        <w:t>手段</w:t>
      </w:r>
      <w:r>
        <w:rPr>
          <w:rFonts w:cs="Times New Roman" w:asciiTheme="minorEastAsia" w:hAnsiTheme="minorEastAsia"/>
          <w:szCs w:val="21"/>
        </w:rPr>
        <w:t>，开展科学研究</w:t>
      </w:r>
      <w:r>
        <w:rPr>
          <w:rFonts w:hint="eastAsia" w:cs="Times New Roman" w:asciiTheme="minorEastAsia" w:hAnsiTheme="minorEastAsia"/>
          <w:szCs w:val="21"/>
        </w:rPr>
        <w:t>。</w:t>
      </w:r>
      <w:r>
        <w:rPr>
          <w:rFonts w:cs="Times New Roman" w:asciiTheme="minorEastAsia" w:hAnsiTheme="minorEastAsia"/>
          <w:szCs w:val="21"/>
        </w:rPr>
        <w:t>具有</w:t>
      </w:r>
      <w:r>
        <w:rPr>
          <w:rFonts w:hint="eastAsia" w:cs="Times New Roman" w:asciiTheme="minorEastAsia" w:hAnsiTheme="minorEastAsia"/>
          <w:szCs w:val="21"/>
        </w:rPr>
        <w:t>科学</w:t>
      </w:r>
      <w:r>
        <w:rPr>
          <w:rFonts w:cs="Times New Roman" w:asciiTheme="minorEastAsia" w:hAnsiTheme="minorEastAsia"/>
          <w:szCs w:val="21"/>
        </w:rPr>
        <w:t>逻辑思维</w:t>
      </w:r>
      <w:r>
        <w:rPr>
          <w:rFonts w:hint="eastAsia" w:cs="Times New Roman" w:asciiTheme="minorEastAsia" w:hAnsiTheme="minorEastAsia"/>
          <w:szCs w:val="21"/>
        </w:rPr>
        <w:t>、批判思维和较高</w:t>
      </w:r>
      <w:r>
        <w:rPr>
          <w:rFonts w:cs="Times New Roman" w:asciiTheme="minorEastAsia" w:hAnsiTheme="minorEastAsia"/>
          <w:szCs w:val="21"/>
        </w:rPr>
        <w:t>的创新能力，能够独立从事</w:t>
      </w:r>
      <w:r>
        <w:rPr>
          <w:rFonts w:hint="eastAsia" w:cs="Times New Roman" w:asciiTheme="minorEastAsia" w:hAnsiTheme="minorEastAsia"/>
          <w:szCs w:val="21"/>
        </w:rPr>
        <w:t>基础医学</w:t>
      </w:r>
      <w:r>
        <w:rPr>
          <w:rFonts w:cs="Times New Roman" w:asciiTheme="minorEastAsia" w:hAnsiTheme="minorEastAsia"/>
          <w:szCs w:val="21"/>
        </w:rPr>
        <w:t>及相关领域科学研究工作</w:t>
      </w:r>
      <w:r>
        <w:rPr>
          <w:rFonts w:hint="eastAsia" w:cs="Times New Roman" w:asciiTheme="minorEastAsia" w:hAnsiTheme="minorEastAsia"/>
          <w:szCs w:val="21"/>
        </w:rPr>
        <w:t>。</w:t>
      </w:r>
      <w:r>
        <w:rPr>
          <w:rFonts w:cs="Times New Roman" w:asciiTheme="minorEastAsia" w:hAnsiTheme="minorEastAsia"/>
          <w:szCs w:val="21"/>
        </w:rPr>
        <w:t>具有较</w:t>
      </w:r>
      <w:r>
        <w:rPr>
          <w:rFonts w:hint="eastAsia" w:cs="Times New Roman" w:asciiTheme="minorEastAsia" w:hAnsiTheme="minorEastAsia"/>
          <w:szCs w:val="21"/>
        </w:rPr>
        <w:t>强</w:t>
      </w:r>
      <w:r>
        <w:rPr>
          <w:rFonts w:cs="Times New Roman" w:asciiTheme="minorEastAsia" w:hAnsiTheme="minorEastAsia"/>
          <w:szCs w:val="21"/>
        </w:rPr>
        <w:t>的语言</w:t>
      </w:r>
      <w:r>
        <w:rPr>
          <w:rFonts w:hint="eastAsia" w:cs="Times New Roman" w:asciiTheme="minorEastAsia" w:hAnsiTheme="minorEastAsia"/>
          <w:szCs w:val="21"/>
        </w:rPr>
        <w:t>交流</w:t>
      </w:r>
      <w:r>
        <w:rPr>
          <w:rFonts w:cs="Times New Roman" w:asciiTheme="minorEastAsia" w:hAnsiTheme="minorEastAsia"/>
          <w:szCs w:val="21"/>
        </w:rPr>
        <w:t>和文字表达能力</w:t>
      </w:r>
      <w:r>
        <w:rPr>
          <w:rFonts w:hint="eastAsia" w:cs="Times New Roman" w:asciiTheme="minorEastAsia" w:hAnsiTheme="minorEastAsia"/>
          <w:szCs w:val="21"/>
        </w:rPr>
        <w:t>。</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4</w:t>
      </w:r>
      <w:r>
        <w:rPr>
          <w:rFonts w:hint="eastAsia" w:cs="Times New Roman" w:asciiTheme="minorEastAsia" w:hAnsiTheme="minorEastAsia"/>
          <w:szCs w:val="21"/>
        </w:rPr>
        <w:t>.</w:t>
      </w:r>
      <w:r>
        <w:rPr>
          <w:rFonts w:cs="Times New Roman" w:asciiTheme="minorEastAsia" w:hAnsiTheme="minorEastAsia"/>
          <w:szCs w:val="21"/>
        </w:rPr>
        <w:t xml:space="preserve"> 具有强烈的社会责任感和良好的团队合作</w:t>
      </w:r>
      <w:r>
        <w:rPr>
          <w:rFonts w:hint="eastAsia" w:cs="Times New Roman" w:asciiTheme="minorEastAsia" w:hAnsiTheme="minorEastAsia"/>
          <w:szCs w:val="21"/>
        </w:rPr>
        <w:t>精神。</w:t>
      </w:r>
      <w:r>
        <w:rPr>
          <w:rFonts w:cs="Times New Roman" w:asciiTheme="minorEastAsia" w:hAnsiTheme="minorEastAsia"/>
          <w:szCs w:val="21"/>
        </w:rPr>
        <w:t>能够运用</w:t>
      </w:r>
      <w:r>
        <w:rPr>
          <w:rFonts w:hint="eastAsia" w:cs="Times New Roman" w:asciiTheme="minorEastAsia" w:hAnsiTheme="minorEastAsia"/>
          <w:szCs w:val="21"/>
        </w:rPr>
        <w:t>其他学科的前沿</w:t>
      </w:r>
      <w:r>
        <w:rPr>
          <w:rFonts w:cs="Times New Roman" w:asciiTheme="minorEastAsia" w:hAnsiTheme="minorEastAsia"/>
          <w:szCs w:val="21"/>
        </w:rPr>
        <w:t>知识和</w:t>
      </w:r>
      <w:r>
        <w:rPr>
          <w:rFonts w:hint="eastAsia" w:cs="Times New Roman" w:asciiTheme="minorEastAsia" w:hAnsiTheme="minorEastAsia"/>
          <w:szCs w:val="21"/>
        </w:rPr>
        <w:t>先进技术，</w:t>
      </w:r>
      <w:r>
        <w:rPr>
          <w:rFonts w:cs="Times New Roman" w:asciiTheme="minorEastAsia" w:hAnsiTheme="minorEastAsia"/>
          <w:szCs w:val="21"/>
        </w:rPr>
        <w:t>开展</w:t>
      </w:r>
      <w:r>
        <w:rPr>
          <w:rFonts w:hint="eastAsia" w:cs="Times New Roman" w:asciiTheme="minorEastAsia" w:hAnsiTheme="minorEastAsia"/>
          <w:szCs w:val="21"/>
        </w:rPr>
        <w:t>交叉融合性的</w:t>
      </w:r>
      <w:r>
        <w:rPr>
          <w:rFonts w:cs="Times New Roman" w:asciiTheme="minorEastAsia" w:hAnsiTheme="minorEastAsia"/>
          <w:szCs w:val="21"/>
        </w:rPr>
        <w:t>科学研究</w:t>
      </w:r>
      <w:r>
        <w:rPr>
          <w:rFonts w:hint="eastAsia" w:cs="Times New Roman" w:asciiTheme="minorEastAsia" w:hAnsiTheme="minorEastAsia"/>
          <w:szCs w:val="21"/>
        </w:rPr>
        <w:t>。</w:t>
      </w:r>
      <w:r>
        <w:rPr>
          <w:rFonts w:cs="Times New Roman" w:asciiTheme="minorEastAsia" w:hAnsiTheme="minorEastAsia"/>
          <w:szCs w:val="21"/>
        </w:rPr>
        <w:t>具有较强管理沟通能力，能够有效</w:t>
      </w:r>
      <w:r>
        <w:rPr>
          <w:rFonts w:hint="eastAsia" w:cs="Times New Roman" w:asciiTheme="minorEastAsia" w:hAnsiTheme="minorEastAsia"/>
          <w:szCs w:val="21"/>
        </w:rPr>
        <w:t>利用</w:t>
      </w:r>
      <w:r>
        <w:rPr>
          <w:rFonts w:cs="Times New Roman" w:asciiTheme="minorEastAsia" w:hAnsiTheme="minorEastAsia"/>
          <w:szCs w:val="21"/>
        </w:rPr>
        <w:t>各种资源</w:t>
      </w:r>
      <w:r>
        <w:rPr>
          <w:rFonts w:hint="eastAsia" w:cs="Times New Roman" w:asciiTheme="minorEastAsia" w:hAnsiTheme="minorEastAsia"/>
          <w:szCs w:val="21"/>
        </w:rPr>
        <w:t>提高工</w:t>
      </w:r>
      <w:r>
        <w:rPr>
          <w:rFonts w:cs="Times New Roman" w:asciiTheme="minorEastAsia" w:hAnsiTheme="minorEastAsia"/>
          <w:szCs w:val="21"/>
        </w:rPr>
        <w:t>作效率。</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80" w:firstLineChars="200"/>
        <w:textAlignment w:val="auto"/>
        <w:rPr>
          <w:rFonts w:ascii="黑体" w:hAnsi="黑体" w:eastAsia="黑体"/>
          <w:sz w:val="24"/>
          <w:szCs w:val="24"/>
        </w:rPr>
      </w:pPr>
      <w:r>
        <w:rPr>
          <w:rFonts w:ascii="黑体" w:hAnsi="黑体" w:eastAsia="黑体"/>
          <w:sz w:val="24"/>
          <w:szCs w:val="24"/>
        </w:rPr>
        <w:t>二、研究方向</w:t>
      </w:r>
      <w:bookmarkEnd w:id="388"/>
      <w:bookmarkEnd w:id="389"/>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1</w:t>
      </w:r>
      <w:r>
        <w:rPr>
          <w:rFonts w:hint="eastAsia" w:ascii="Times New Roman" w:hAnsi="Times New Roman" w:eastAsia="宋体" w:cs="Times New Roman"/>
          <w:bCs/>
          <w:szCs w:val="21"/>
        </w:rPr>
        <w:t>．</w:t>
      </w:r>
      <w:r>
        <w:rPr>
          <w:rFonts w:cs="Times New Roman" w:asciiTheme="minorEastAsia" w:hAnsiTheme="minorEastAsia"/>
          <w:szCs w:val="21"/>
        </w:rPr>
        <w:t>人体解剖与组织胚胎学</w:t>
      </w:r>
      <w:r>
        <w:rPr>
          <w:rFonts w:hint="eastAsia" w:cs="Times New Roman" w:asciiTheme="minorEastAsia" w:hAnsiTheme="minorEastAsia"/>
          <w:szCs w:val="21"/>
        </w:rPr>
        <w:t>；</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2</w:t>
      </w:r>
      <w:r>
        <w:rPr>
          <w:rFonts w:hint="eastAsia" w:ascii="Times New Roman" w:hAnsi="Times New Roman" w:eastAsia="宋体" w:cs="Times New Roman"/>
          <w:bCs/>
          <w:szCs w:val="21"/>
        </w:rPr>
        <w:t>．</w:t>
      </w:r>
      <w:r>
        <w:rPr>
          <w:rFonts w:cs="Times New Roman" w:asciiTheme="minorEastAsia" w:hAnsiTheme="minorEastAsia"/>
          <w:szCs w:val="21"/>
        </w:rPr>
        <w:t>免疫学</w:t>
      </w:r>
      <w:r>
        <w:rPr>
          <w:rFonts w:hint="eastAsia" w:cs="Times New Roman" w:asciiTheme="minorEastAsia" w:hAnsiTheme="minorEastAsia"/>
          <w:szCs w:val="21"/>
        </w:rPr>
        <w:t>；</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3</w:t>
      </w:r>
      <w:r>
        <w:rPr>
          <w:rFonts w:hint="eastAsia" w:ascii="Times New Roman" w:hAnsi="Times New Roman" w:eastAsia="宋体" w:cs="Times New Roman"/>
          <w:bCs/>
          <w:szCs w:val="21"/>
        </w:rPr>
        <w:t>．</w:t>
      </w:r>
      <w:r>
        <w:rPr>
          <w:rFonts w:cs="Times New Roman" w:asciiTheme="minorEastAsia" w:hAnsiTheme="minorEastAsia"/>
          <w:szCs w:val="21"/>
        </w:rPr>
        <w:t>病原生物学</w:t>
      </w:r>
      <w:r>
        <w:rPr>
          <w:rFonts w:hint="eastAsia" w:cs="Times New Roman" w:asciiTheme="minorEastAsia" w:hAnsiTheme="minorEastAsia"/>
          <w:szCs w:val="21"/>
        </w:rPr>
        <w:t>；</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4</w:t>
      </w:r>
      <w:r>
        <w:rPr>
          <w:rFonts w:hint="eastAsia" w:ascii="Times New Roman" w:hAnsi="Times New Roman" w:eastAsia="宋体" w:cs="Times New Roman"/>
          <w:bCs/>
          <w:szCs w:val="21"/>
        </w:rPr>
        <w:t>．</w:t>
      </w:r>
      <w:r>
        <w:rPr>
          <w:rFonts w:cs="Times New Roman" w:asciiTheme="minorEastAsia" w:hAnsiTheme="minorEastAsia"/>
          <w:szCs w:val="21"/>
        </w:rPr>
        <w:t>病理学与病理生理学</w:t>
      </w:r>
      <w:r>
        <w:rPr>
          <w:rFonts w:hint="eastAsia" w:cs="Times New Roman" w:asciiTheme="minorEastAsia" w:hAnsiTheme="minorEastAsia"/>
          <w:szCs w:val="21"/>
        </w:rPr>
        <w:t>；</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5</w:t>
      </w:r>
      <w:r>
        <w:rPr>
          <w:rFonts w:hint="eastAsia" w:ascii="Times New Roman" w:hAnsi="Times New Roman" w:eastAsia="宋体" w:cs="Times New Roman"/>
          <w:bCs/>
          <w:szCs w:val="21"/>
        </w:rPr>
        <w:t>．</w:t>
      </w:r>
      <w:r>
        <w:rPr>
          <w:rFonts w:cs="Times New Roman" w:asciiTheme="minorEastAsia" w:hAnsiTheme="minorEastAsia"/>
          <w:szCs w:val="21"/>
        </w:rPr>
        <w:t>法医学</w:t>
      </w:r>
      <w:r>
        <w:rPr>
          <w:rFonts w:hint="eastAsia" w:cs="Times New Roman" w:asciiTheme="minorEastAsia" w:hAnsiTheme="minorEastAsia"/>
          <w:szCs w:val="21"/>
        </w:rPr>
        <w:t>；</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6</w:t>
      </w:r>
      <w:r>
        <w:rPr>
          <w:rFonts w:hint="eastAsia" w:ascii="Times New Roman" w:hAnsi="Times New Roman" w:eastAsia="宋体" w:cs="Times New Roman"/>
          <w:bCs/>
          <w:szCs w:val="21"/>
        </w:rPr>
        <w:t>．</w:t>
      </w:r>
      <w:r>
        <w:rPr>
          <w:rFonts w:cs="Times New Roman" w:asciiTheme="minorEastAsia" w:hAnsiTheme="minorEastAsia"/>
          <w:szCs w:val="21"/>
        </w:rPr>
        <w:t>口腔生物学</w:t>
      </w:r>
      <w:r>
        <w:rPr>
          <w:rFonts w:hint="eastAsia" w:cs="Times New Roman" w:asciiTheme="minorEastAsia" w:hAnsiTheme="minorEastAsia"/>
          <w:szCs w:val="21"/>
        </w:rPr>
        <w:t>；</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7．疫苗与免疫工程</w:t>
      </w:r>
      <w:r>
        <w:rPr>
          <w:rFonts w:hint="eastAsia" w:ascii="Times New Roman" w:hAnsi="Times New Roman" w:eastAsia="宋体" w:cs="Times New Roman"/>
          <w:szCs w:val="21"/>
        </w:rPr>
        <w:t>(交叉)</w:t>
      </w:r>
      <w:r>
        <w:rPr>
          <w:rFonts w:hint="eastAsia" w:cs="Times New Roman" w:asciiTheme="minorEastAsia" w:hAnsiTheme="minorEastAsia"/>
          <w:szCs w:val="21"/>
        </w:rPr>
        <w:t>。</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80" w:firstLineChars="200"/>
        <w:textAlignment w:val="auto"/>
        <w:rPr>
          <w:rFonts w:ascii="黑体" w:hAnsi="黑体" w:eastAsia="黑体"/>
          <w:sz w:val="24"/>
          <w:szCs w:val="24"/>
        </w:rPr>
      </w:pPr>
      <w:bookmarkStart w:id="390" w:name="_Toc519846439"/>
      <w:bookmarkStart w:id="391" w:name="_Toc520822659"/>
      <w:r>
        <w:rPr>
          <w:rFonts w:ascii="黑体" w:hAnsi="黑体" w:eastAsia="黑体"/>
          <w:sz w:val="24"/>
          <w:szCs w:val="24"/>
        </w:rPr>
        <w:t>三、学习年限</w:t>
      </w:r>
      <w:bookmarkEnd w:id="390"/>
      <w:bookmarkEnd w:id="391"/>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以硕</w:t>
      </w:r>
      <w:r>
        <w:rPr>
          <w:rFonts w:cs="Times New Roman" w:asciiTheme="minorEastAsia" w:hAnsiTheme="minorEastAsia"/>
          <w:spacing w:val="-4"/>
          <w:szCs w:val="21"/>
        </w:rPr>
        <w:t>博连读方式进入贯通式培养体系的学生（以下简称</w:t>
      </w:r>
      <w:r>
        <w:rPr>
          <w:rFonts w:hint="eastAsia" w:cs="Times New Roman" w:asciiTheme="minorEastAsia" w:hAnsiTheme="minorEastAsia"/>
          <w:spacing w:val="-4"/>
          <w:szCs w:val="21"/>
        </w:rPr>
        <w:t>“</w:t>
      </w:r>
      <w:r>
        <w:rPr>
          <w:rFonts w:cs="Times New Roman" w:asciiTheme="minorEastAsia" w:hAnsiTheme="minorEastAsia"/>
          <w:spacing w:val="-4"/>
          <w:szCs w:val="21"/>
        </w:rPr>
        <w:t>硕博连读生</w:t>
      </w:r>
      <w:r>
        <w:rPr>
          <w:rFonts w:hint="eastAsia" w:cs="Times New Roman" w:asciiTheme="minorEastAsia" w:hAnsiTheme="minorEastAsia"/>
          <w:spacing w:val="-4"/>
          <w:szCs w:val="21"/>
        </w:rPr>
        <w:t>”</w:t>
      </w:r>
      <w:r>
        <w:rPr>
          <w:rFonts w:cs="Times New Roman" w:asciiTheme="minorEastAsia" w:hAnsiTheme="minorEastAsia"/>
          <w:spacing w:val="-4"/>
          <w:szCs w:val="21"/>
        </w:rPr>
        <w:t>），在博士培养阶段的学习年限为</w:t>
      </w:r>
      <w:r>
        <w:rPr>
          <w:rFonts w:ascii="Times New Roman" w:hAnsi="Times New Roman" w:cs="Times New Roman"/>
          <w:spacing w:val="-4"/>
          <w:szCs w:val="21"/>
        </w:rPr>
        <w:t>3-5</w:t>
      </w:r>
      <w:r>
        <w:rPr>
          <w:rFonts w:cs="Times New Roman" w:asciiTheme="minorEastAsia" w:hAnsiTheme="minorEastAsia"/>
          <w:spacing w:val="-4"/>
          <w:szCs w:val="21"/>
        </w:rPr>
        <w:t>年；以直攻博方式进入贯通式培养体系的学生（以下简称</w:t>
      </w:r>
      <w:r>
        <w:rPr>
          <w:rFonts w:hint="eastAsia" w:cs="Times New Roman" w:asciiTheme="minorEastAsia" w:hAnsiTheme="minorEastAsia"/>
          <w:spacing w:val="-4"/>
          <w:szCs w:val="21"/>
        </w:rPr>
        <w:t>“</w:t>
      </w:r>
      <w:r>
        <w:rPr>
          <w:rFonts w:cs="Times New Roman" w:asciiTheme="minorEastAsia" w:hAnsiTheme="minorEastAsia"/>
          <w:spacing w:val="-4"/>
          <w:szCs w:val="21"/>
        </w:rPr>
        <w:t>直博生</w:t>
      </w:r>
      <w:r>
        <w:rPr>
          <w:rFonts w:hint="eastAsia" w:cs="Times New Roman" w:asciiTheme="minorEastAsia" w:hAnsiTheme="minorEastAsia"/>
          <w:spacing w:val="-4"/>
          <w:szCs w:val="21"/>
        </w:rPr>
        <w:t>”</w:t>
      </w:r>
      <w:r>
        <w:rPr>
          <w:rFonts w:cs="Times New Roman" w:asciiTheme="minorEastAsia" w:hAnsiTheme="minorEastAsia"/>
          <w:spacing w:val="-4"/>
          <w:szCs w:val="21"/>
        </w:rPr>
        <w:t>），学习年限为</w:t>
      </w:r>
      <w:r>
        <w:rPr>
          <w:rFonts w:ascii="Times New Roman" w:hAnsi="Times New Roman" w:cs="Times New Roman"/>
          <w:spacing w:val="-4"/>
          <w:szCs w:val="21"/>
        </w:rPr>
        <w:t>4-6</w:t>
      </w:r>
      <w:r>
        <w:rPr>
          <w:rFonts w:cs="Times New Roman" w:asciiTheme="minorEastAsia" w:hAnsiTheme="minorEastAsia"/>
          <w:spacing w:val="-4"/>
          <w:szCs w:val="21"/>
        </w:rPr>
        <w:t>年。</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80" w:firstLineChars="200"/>
        <w:textAlignment w:val="auto"/>
        <w:rPr>
          <w:rFonts w:ascii="黑体" w:hAnsi="黑体" w:eastAsia="黑体"/>
          <w:sz w:val="24"/>
          <w:szCs w:val="24"/>
        </w:rPr>
      </w:pPr>
      <w:bookmarkStart w:id="392" w:name="_Toc520822660"/>
      <w:bookmarkStart w:id="393" w:name="_Toc519846440"/>
      <w:r>
        <w:rPr>
          <w:rFonts w:ascii="黑体" w:hAnsi="黑体" w:eastAsia="黑体"/>
          <w:sz w:val="24"/>
          <w:szCs w:val="24"/>
        </w:rPr>
        <w:t>四、培养方式</w:t>
      </w:r>
      <w:bookmarkEnd w:id="392"/>
      <w:bookmarkEnd w:id="393"/>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以立德树人为根本任务，实现硕博贯通的培养方式，具体的培养方式是：</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1</w:t>
      </w:r>
      <w:r>
        <w:rPr>
          <w:rFonts w:hint="eastAsia" w:ascii="Times New Roman" w:hAnsi="Times New Roman" w:eastAsia="宋体" w:cs="Times New Roman"/>
          <w:bCs/>
          <w:szCs w:val="21"/>
        </w:rPr>
        <w:t>．</w:t>
      </w:r>
      <w:r>
        <w:rPr>
          <w:rFonts w:cs="Times New Roman" w:asciiTheme="minorEastAsia" w:hAnsiTheme="minorEastAsia"/>
          <w:szCs w:val="21"/>
        </w:rPr>
        <w:t>导师小组联合指导，导师负责制。各系、中心应成立以博士生导师为</w:t>
      </w:r>
      <w:r>
        <w:rPr>
          <w:rFonts w:ascii="Times New Roman" w:hAnsi="Times New Roman" w:cs="Times New Roman"/>
          <w:szCs w:val="21"/>
        </w:rPr>
        <w:t>主5人</w:t>
      </w:r>
      <w:r>
        <w:rPr>
          <w:rFonts w:cs="Times New Roman" w:asciiTheme="minorEastAsia" w:hAnsiTheme="minorEastAsia"/>
          <w:szCs w:val="21"/>
        </w:rPr>
        <w:t>指导小组及课题小组的有关成员，按照</w:t>
      </w:r>
      <w:r>
        <w:rPr>
          <w:rFonts w:cs="Times New Roman" w:asciiTheme="minorEastAsia" w:hAnsiTheme="minorEastAsia"/>
          <w:kern w:val="0"/>
          <w:szCs w:val="21"/>
        </w:rPr>
        <w:t>硕博连读生</w:t>
      </w:r>
      <w:r>
        <w:rPr>
          <w:rFonts w:cs="Times New Roman" w:asciiTheme="minorEastAsia" w:hAnsiTheme="minorEastAsia"/>
          <w:szCs w:val="21"/>
        </w:rPr>
        <w:t>培养计划的要求，制订培养计划。共同协助搞好贯通式研究生的培养工作。</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2</w:t>
      </w:r>
      <w:r>
        <w:rPr>
          <w:rFonts w:hint="eastAsia" w:ascii="Times New Roman" w:hAnsi="Times New Roman" w:eastAsia="宋体" w:cs="Times New Roman"/>
          <w:bCs/>
          <w:szCs w:val="21"/>
        </w:rPr>
        <w:t>．</w:t>
      </w:r>
      <w:r>
        <w:rPr>
          <w:rFonts w:cs="Times New Roman" w:asciiTheme="minorEastAsia" w:hAnsiTheme="minorEastAsia"/>
          <w:szCs w:val="21"/>
        </w:rPr>
        <w:t>课程学习要满足需要的学分；课程包括本专业的基础和前沿课程和开展自己研究工作的必要知识和技术，可采用上课、学术报告、国际交流、讨论等方式。</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3</w:t>
      </w:r>
      <w:r>
        <w:rPr>
          <w:rFonts w:hint="eastAsia" w:ascii="Times New Roman" w:hAnsi="Times New Roman" w:eastAsia="宋体" w:cs="Times New Roman"/>
          <w:bCs/>
          <w:szCs w:val="21"/>
        </w:rPr>
        <w:t>．</w:t>
      </w:r>
      <w:r>
        <w:rPr>
          <w:rFonts w:cs="Times New Roman" w:asciiTheme="minorEastAsia" w:hAnsiTheme="minorEastAsia"/>
          <w:szCs w:val="21"/>
        </w:rPr>
        <w:t>积极鼓励学生参加会议、讲座等，展丰富多彩的科研活动，营造浓郁的科研氛围，提升学生的科研兴趣，增强学生解决重大科学问题的动力。</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4</w:t>
      </w:r>
      <w:r>
        <w:rPr>
          <w:rFonts w:hint="eastAsia" w:ascii="Times New Roman" w:hAnsi="Times New Roman" w:eastAsia="宋体" w:cs="Times New Roman"/>
          <w:bCs/>
          <w:szCs w:val="21"/>
        </w:rPr>
        <w:t>．</w:t>
      </w:r>
      <w:r>
        <w:rPr>
          <w:rFonts w:ascii="Times New Roman" w:hAnsi="Times New Roman" w:cs="Times New Roman"/>
          <w:szCs w:val="21"/>
        </w:rPr>
        <w:t>通过课题组、院系的科研汇报会、文献阅读会、小组讨论会，个别指导等形式，</w:t>
      </w:r>
      <w:r>
        <w:rPr>
          <w:rFonts w:cs="Times New Roman" w:asciiTheme="minorEastAsia" w:hAnsiTheme="minorEastAsia"/>
          <w:szCs w:val="21"/>
        </w:rPr>
        <w:t>逐步强化学生的科研创新能力。</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cs="Times New Roman" w:asciiTheme="minorEastAsia" w:hAnsiTheme="minorEastAsia"/>
          <w:sz w:val="24"/>
          <w:szCs w:val="24"/>
        </w:rPr>
      </w:pPr>
      <w:r>
        <w:rPr>
          <w:rFonts w:ascii="Times New Roman" w:hAnsi="Times New Roman" w:cs="Times New Roman"/>
          <w:szCs w:val="21"/>
        </w:rPr>
        <w:t>5</w:t>
      </w:r>
      <w:r>
        <w:rPr>
          <w:rFonts w:hint="eastAsia" w:ascii="Times New Roman" w:hAnsi="Times New Roman" w:eastAsia="宋体" w:cs="Times New Roman"/>
          <w:bCs/>
          <w:szCs w:val="21"/>
        </w:rPr>
        <w:t>．</w:t>
      </w:r>
      <w:r>
        <w:rPr>
          <w:rFonts w:cs="Times New Roman" w:asciiTheme="minorEastAsia" w:hAnsiTheme="minorEastAsia"/>
          <w:szCs w:val="21"/>
        </w:rPr>
        <w:t>加强培养期间的过程管理，第一学年学习专业基础理论，掌握进行科研所必需的基本技能并写出文献综述。从第二年开始在导师指导下进入课题研究和学位论文准备阶段。硕博连读生，硕士阶段第二学年内完成博士资格考核，在进入博士阶段第二学年起至第三学年末完成博士中期考核；直博生，第二学年内完成博士资格审核，自第三学年起至第四学年末完成博士中期考核。</w:t>
      </w:r>
    </w:p>
    <w:p>
      <w:pPr>
        <w:keepNext w:val="0"/>
        <w:keepLines w:val="0"/>
        <w:pageBreakBefore w:val="0"/>
        <w:widowControl w:val="0"/>
        <w:kinsoku/>
        <w:wordWrap/>
        <w:overflowPunct/>
        <w:topLinePunct w:val="0"/>
        <w:autoSpaceDE/>
        <w:autoSpaceDN/>
        <w:bidi w:val="0"/>
        <w:spacing w:before="95" w:beforeLines="30" w:after="95" w:afterLines="30" w:line="300" w:lineRule="auto"/>
        <w:ind w:firstLine="480" w:firstLineChars="200"/>
        <w:textAlignment w:val="auto"/>
        <w:rPr>
          <w:rFonts w:ascii="黑体" w:hAnsi="黑体" w:eastAsia="黑体"/>
          <w:sz w:val="24"/>
          <w:szCs w:val="24"/>
        </w:rPr>
      </w:pPr>
      <w:bookmarkStart w:id="394" w:name="_Toc519846441"/>
      <w:bookmarkStart w:id="395" w:name="_Toc520822661"/>
      <w:r>
        <w:rPr>
          <w:rFonts w:ascii="黑体" w:hAnsi="黑体" w:eastAsia="黑体"/>
          <w:sz w:val="24"/>
          <w:szCs w:val="24"/>
        </w:rPr>
        <w:t>五、课程学习及学分设置</w:t>
      </w:r>
      <w:bookmarkEnd w:id="394"/>
      <w:bookmarkEnd w:id="395"/>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本学科学术型硕博贯通式培养方案共需修满4</w:t>
      </w:r>
      <w:r>
        <w:rPr>
          <w:rFonts w:cs="Times New Roman" w:asciiTheme="minorEastAsia" w:hAnsiTheme="minorEastAsia"/>
          <w:szCs w:val="21"/>
        </w:rPr>
        <w:t>2</w:t>
      </w:r>
      <w:r>
        <w:rPr>
          <w:rFonts w:hint="eastAsia" w:cs="Times New Roman" w:asciiTheme="minorEastAsia" w:hAnsiTheme="minorEastAsia"/>
          <w:szCs w:val="21"/>
        </w:rPr>
        <w:t>学分，其中课程学习25学分，必修环节</w:t>
      </w:r>
      <w:r>
        <w:rPr>
          <w:rFonts w:cs="Times New Roman" w:asciiTheme="minorEastAsia" w:hAnsiTheme="minorEastAsia"/>
          <w:szCs w:val="21"/>
        </w:rPr>
        <w:t>17学分</w:t>
      </w:r>
      <w:r>
        <w:rPr>
          <w:rFonts w:hint="eastAsia" w:cs="Times New Roman" w:asciiTheme="minorEastAsia" w:hAnsiTheme="minorEastAsia"/>
          <w:szCs w:val="21"/>
        </w:rPr>
        <w:t>。</w:t>
      </w:r>
      <w:r>
        <w:rPr>
          <w:rFonts w:cs="Times New Roman" w:asciiTheme="minorEastAsia" w:hAnsiTheme="minorEastAsia"/>
          <w:szCs w:val="21"/>
        </w:rPr>
        <w:t>课程学习包括：学位课1</w:t>
      </w:r>
      <w:r>
        <w:rPr>
          <w:rFonts w:hint="eastAsia" w:cs="Times New Roman" w:asciiTheme="minorEastAsia" w:hAnsiTheme="minorEastAsia"/>
          <w:szCs w:val="21"/>
        </w:rPr>
        <w:t>7</w:t>
      </w:r>
      <w:r>
        <w:rPr>
          <w:rFonts w:cs="Times New Roman" w:asciiTheme="minorEastAsia" w:hAnsiTheme="minorEastAsia"/>
          <w:szCs w:val="21"/>
        </w:rPr>
        <w:t>学分，选修课</w:t>
      </w:r>
      <w:r>
        <w:rPr>
          <w:rFonts w:hint="eastAsia" w:cs="Times New Roman" w:asciiTheme="minorEastAsia" w:hAnsiTheme="minorEastAsia"/>
          <w:szCs w:val="21"/>
        </w:rPr>
        <w:t>8</w:t>
      </w:r>
      <w:r>
        <w:rPr>
          <w:rFonts w:cs="Times New Roman" w:asciiTheme="minorEastAsia" w:hAnsiTheme="minorEastAsia"/>
          <w:szCs w:val="21"/>
        </w:rPr>
        <w:t>学分。学位课包括公共学位课7学分（思政课</w:t>
      </w:r>
      <w:r>
        <w:rPr>
          <w:rFonts w:hint="eastAsia" w:cs="Times New Roman" w:asciiTheme="minorEastAsia" w:hAnsiTheme="minorEastAsia"/>
          <w:szCs w:val="21"/>
        </w:rPr>
        <w:t>5</w:t>
      </w:r>
      <w:r>
        <w:rPr>
          <w:rFonts w:cs="Times New Roman" w:asciiTheme="minorEastAsia" w:hAnsiTheme="minorEastAsia"/>
          <w:szCs w:val="21"/>
        </w:rPr>
        <w:t>学分，外语课2学分），</w:t>
      </w:r>
      <w:r>
        <w:rPr>
          <w:rFonts w:hint="eastAsia" w:cs="Times New Roman" w:asciiTheme="minorEastAsia" w:hAnsiTheme="minorEastAsia"/>
          <w:szCs w:val="21"/>
        </w:rPr>
        <w:t>学科</w:t>
      </w:r>
      <w:r>
        <w:rPr>
          <w:rFonts w:cs="Times New Roman" w:asciiTheme="minorEastAsia" w:hAnsiTheme="minorEastAsia"/>
          <w:szCs w:val="21"/>
        </w:rPr>
        <w:t>学位课10学分</w:t>
      </w:r>
      <w:r>
        <w:rPr>
          <w:rFonts w:hint="eastAsia" w:cs="Times New Roman" w:asciiTheme="minorEastAsia" w:hAnsiTheme="minorEastAsia"/>
          <w:szCs w:val="21"/>
        </w:rPr>
        <w:t>。</w:t>
      </w:r>
    </w:p>
    <w:tbl>
      <w:tblPr>
        <w:tblStyle w:val="37"/>
        <w:tblW w:w="47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606"/>
        <w:gridCol w:w="962"/>
        <w:gridCol w:w="1402"/>
        <w:gridCol w:w="2390"/>
        <w:gridCol w:w="666"/>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86"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r>
              <w:rPr>
                <w:rFonts w:ascii="Times New Roman" w:hAnsi="Times New Roman" w:cs="Times New Roman"/>
                <w:b/>
                <w:bCs/>
                <w:szCs w:val="21"/>
              </w:rPr>
              <w:t>课程类型</w:t>
            </w:r>
          </w:p>
        </w:tc>
        <w:tc>
          <w:tcPr>
            <w:tcW w:w="35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r>
              <w:rPr>
                <w:rFonts w:ascii="Times New Roman" w:hAnsi="Times New Roman" w:cs="Times New Roman"/>
                <w:b/>
                <w:bCs/>
                <w:szCs w:val="21"/>
              </w:rPr>
              <w:t>序号</w:t>
            </w:r>
          </w:p>
        </w:tc>
        <w:tc>
          <w:tcPr>
            <w:tcW w:w="56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r>
              <w:rPr>
                <w:rFonts w:hint="eastAsia" w:ascii="Times New Roman" w:hAnsi="Times New Roman" w:cs="Times New Roman"/>
                <w:b/>
                <w:bCs/>
                <w:szCs w:val="21"/>
              </w:rPr>
              <w:t>课程编号</w:t>
            </w:r>
          </w:p>
        </w:tc>
        <w:tc>
          <w:tcPr>
            <w:tcW w:w="82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r>
              <w:rPr>
                <w:rFonts w:ascii="Times New Roman" w:hAnsi="Times New Roman" w:cs="Times New Roman"/>
                <w:b/>
                <w:bCs/>
                <w:szCs w:val="21"/>
              </w:rPr>
              <w:t>统一编码</w:t>
            </w:r>
          </w:p>
        </w:tc>
        <w:tc>
          <w:tcPr>
            <w:tcW w:w="141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r>
              <w:rPr>
                <w:rFonts w:ascii="Times New Roman" w:hAnsi="Times New Roman" w:cs="Times New Roman"/>
                <w:b/>
                <w:bCs/>
                <w:szCs w:val="21"/>
              </w:rPr>
              <w:t>课程名称</w:t>
            </w:r>
          </w:p>
        </w:tc>
        <w:tc>
          <w:tcPr>
            <w:tcW w:w="39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r>
              <w:rPr>
                <w:rFonts w:ascii="Times New Roman" w:hAnsi="Times New Roman" w:cs="Times New Roman"/>
                <w:b/>
                <w:bCs/>
                <w:szCs w:val="21"/>
              </w:rPr>
              <w:t>学分</w:t>
            </w:r>
          </w:p>
        </w:tc>
        <w:tc>
          <w:tcPr>
            <w:tcW w:w="85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r>
              <w:rPr>
                <w:rFonts w:ascii="Times New Roman" w:hAnsi="Times New Roman" w:cs="Times New Roman"/>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6" w:type="pct"/>
            <w:vMerge w:val="restar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r>
              <w:rPr>
                <w:rFonts w:ascii="Times New Roman" w:hAnsi="Times New Roman" w:cs="Times New Roman"/>
                <w:bCs/>
                <w:szCs w:val="21"/>
              </w:rPr>
              <w:t>公共</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r>
              <w:rPr>
                <w:rFonts w:ascii="Times New Roman" w:hAnsi="Times New Roman" w:cs="Times New Roman"/>
                <w:bCs/>
                <w:szCs w:val="21"/>
              </w:rPr>
              <w:t>学位课</w:t>
            </w:r>
          </w:p>
        </w:tc>
        <w:tc>
          <w:tcPr>
            <w:tcW w:w="35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56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141003</w:t>
            </w:r>
          </w:p>
        </w:tc>
        <w:tc>
          <w:tcPr>
            <w:tcW w:w="82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MLMD6003</w:t>
            </w:r>
            <w:r>
              <w:rPr>
                <w:rFonts w:hint="eastAsia" w:cs="Times New Roman" w:asciiTheme="minorEastAsia" w:hAnsiTheme="minorEastAsia"/>
                <w:szCs w:val="21"/>
              </w:rPr>
              <w:t>14</w:t>
            </w:r>
          </w:p>
        </w:tc>
        <w:tc>
          <w:tcPr>
            <w:tcW w:w="141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hint="eastAsia" w:ascii="Times New Roman" w:hAnsi="Times New Roman" w:cs="Times New Roman"/>
                <w:szCs w:val="21"/>
              </w:rPr>
              <w:t>新时代</w:t>
            </w:r>
            <w:r>
              <w:rPr>
                <w:rFonts w:ascii="Times New Roman" w:hAnsi="Times New Roman" w:cs="Times New Roman"/>
                <w:szCs w:val="21"/>
              </w:rPr>
              <w:t>中国特色社会主义理论与实践</w:t>
            </w:r>
          </w:p>
        </w:tc>
        <w:tc>
          <w:tcPr>
            <w:tcW w:w="39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53" w:type="pct"/>
            <w:vMerge w:val="restar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5学分</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6"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5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141005</w:t>
            </w:r>
          </w:p>
        </w:tc>
        <w:tc>
          <w:tcPr>
            <w:tcW w:w="82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PHLS6001</w:t>
            </w:r>
            <w:r>
              <w:rPr>
                <w:rFonts w:hint="eastAsia" w:cs="Times New Roman" w:asciiTheme="minorEastAsia" w:hAnsiTheme="minorEastAsia"/>
                <w:szCs w:val="21"/>
              </w:rPr>
              <w:t>14</w:t>
            </w:r>
          </w:p>
        </w:tc>
        <w:tc>
          <w:tcPr>
            <w:tcW w:w="141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自然辩证法</w:t>
            </w:r>
          </w:p>
        </w:tc>
        <w:tc>
          <w:tcPr>
            <w:tcW w:w="39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853"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6"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5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3</w:t>
            </w:r>
          </w:p>
        </w:tc>
        <w:tc>
          <w:tcPr>
            <w:tcW w:w="56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12106</w:t>
            </w:r>
            <w:r>
              <w:rPr>
                <w:rFonts w:hint="eastAsia" w:cs="Times New Roman" w:asciiTheme="minorEastAsia" w:hAnsiTheme="minorEastAsia"/>
                <w:szCs w:val="21"/>
              </w:rPr>
              <w:t>7</w:t>
            </w:r>
          </w:p>
        </w:tc>
        <w:tc>
          <w:tcPr>
            <w:tcW w:w="82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ENGL602112</w:t>
            </w:r>
          </w:p>
        </w:tc>
        <w:tc>
          <w:tcPr>
            <w:tcW w:w="141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hint="eastAsia" w:ascii="Times New Roman" w:hAnsi="Times New Roman" w:cs="Times New Roman"/>
                <w:szCs w:val="21"/>
              </w:rPr>
              <w:t>学术英语二</w:t>
            </w:r>
          </w:p>
        </w:tc>
        <w:tc>
          <w:tcPr>
            <w:tcW w:w="39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53"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6"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5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4</w:t>
            </w:r>
          </w:p>
        </w:tc>
        <w:tc>
          <w:tcPr>
            <w:tcW w:w="56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141006</w:t>
            </w:r>
          </w:p>
        </w:tc>
        <w:tc>
          <w:tcPr>
            <w:tcW w:w="82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MLMD6001</w:t>
            </w:r>
            <w:r>
              <w:rPr>
                <w:rFonts w:hint="eastAsia" w:cs="Times New Roman" w:asciiTheme="minorEastAsia" w:hAnsiTheme="minorEastAsia"/>
                <w:szCs w:val="21"/>
              </w:rPr>
              <w:t>14</w:t>
            </w:r>
          </w:p>
        </w:tc>
        <w:tc>
          <w:tcPr>
            <w:tcW w:w="141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中国马克思主义与当代</w:t>
            </w:r>
          </w:p>
        </w:tc>
        <w:tc>
          <w:tcPr>
            <w:tcW w:w="39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5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进入博士培养阶段后必选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6" w:type="pct"/>
            <w:vMerge w:val="restar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r>
              <w:rPr>
                <w:rFonts w:hint="eastAsia" w:ascii="宋体" w:hAnsi="宋体" w:eastAsia="宋体" w:cs="宋体"/>
                <w:szCs w:val="21"/>
              </w:rPr>
              <w:t>学科</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r>
              <w:rPr>
                <w:rFonts w:ascii="Times New Roman" w:hAnsi="Times New Roman" w:cs="Times New Roman"/>
                <w:bCs/>
                <w:szCs w:val="21"/>
              </w:rPr>
              <w:t>学位课</w:t>
            </w:r>
          </w:p>
        </w:tc>
        <w:tc>
          <w:tcPr>
            <w:tcW w:w="35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56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152050</w:t>
            </w:r>
          </w:p>
        </w:tc>
        <w:tc>
          <w:tcPr>
            <w:tcW w:w="82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PUBH6107</w:t>
            </w:r>
            <w:r>
              <w:rPr>
                <w:rFonts w:hint="eastAsia" w:cs="Times New Roman" w:asciiTheme="minorEastAsia" w:hAnsiTheme="minorEastAsia"/>
                <w:szCs w:val="21"/>
              </w:rPr>
              <w:t>15</w:t>
            </w:r>
          </w:p>
        </w:tc>
        <w:tc>
          <w:tcPr>
            <w:tcW w:w="141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医学统计学</w:t>
            </w:r>
          </w:p>
        </w:tc>
        <w:tc>
          <w:tcPr>
            <w:tcW w:w="39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53" w:type="pct"/>
            <w:vMerge w:val="restar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8学分</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6"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5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153043</w:t>
            </w:r>
          </w:p>
        </w:tc>
        <w:tc>
          <w:tcPr>
            <w:tcW w:w="82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BASM6125</w:t>
            </w:r>
            <w:r>
              <w:rPr>
                <w:rFonts w:hint="eastAsia" w:cs="Times New Roman" w:asciiTheme="minorEastAsia" w:hAnsiTheme="minorEastAsia"/>
                <w:szCs w:val="21"/>
              </w:rPr>
              <w:t>15</w:t>
            </w:r>
          </w:p>
        </w:tc>
        <w:tc>
          <w:tcPr>
            <w:tcW w:w="141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hint="eastAsia" w:cs="Times New Roman" w:asciiTheme="minorEastAsia" w:hAnsiTheme="minorEastAsia"/>
                <w:szCs w:val="21"/>
              </w:rPr>
              <w:t>Medical</w:t>
            </w:r>
            <w:r>
              <w:rPr>
                <w:rFonts w:cs="Times New Roman" w:asciiTheme="minorEastAsia" w:hAnsiTheme="minorEastAsia"/>
                <w:szCs w:val="21"/>
              </w:rPr>
              <w:t xml:space="preserve"> </w:t>
            </w:r>
            <w:r>
              <w:rPr>
                <w:rFonts w:hint="eastAsia" w:cs="Times New Roman" w:asciiTheme="minorEastAsia" w:hAnsiTheme="minorEastAsia"/>
                <w:szCs w:val="21"/>
              </w:rPr>
              <w:t>Molecular</w:t>
            </w:r>
            <w:r>
              <w:rPr>
                <w:rFonts w:cs="Times New Roman" w:asciiTheme="minorEastAsia" w:hAnsiTheme="minorEastAsia"/>
                <w:szCs w:val="21"/>
              </w:rPr>
              <w:t xml:space="preserve"> </w:t>
            </w:r>
            <w:r>
              <w:rPr>
                <w:rFonts w:hint="eastAsia" w:cs="Times New Roman" w:asciiTheme="minorEastAsia" w:hAnsiTheme="minorEastAsia"/>
                <w:szCs w:val="21"/>
              </w:rPr>
              <w:t>Biology（全英文）</w:t>
            </w:r>
          </w:p>
        </w:tc>
        <w:tc>
          <w:tcPr>
            <w:tcW w:w="39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53"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6"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5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3</w:t>
            </w:r>
          </w:p>
        </w:tc>
        <w:tc>
          <w:tcPr>
            <w:tcW w:w="56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152189</w:t>
            </w:r>
          </w:p>
        </w:tc>
        <w:tc>
          <w:tcPr>
            <w:tcW w:w="82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BASM6124</w:t>
            </w:r>
            <w:r>
              <w:rPr>
                <w:rFonts w:hint="eastAsia" w:cs="Times New Roman" w:asciiTheme="minorEastAsia" w:hAnsiTheme="minorEastAsia"/>
                <w:szCs w:val="21"/>
              </w:rPr>
              <w:t>15</w:t>
            </w:r>
          </w:p>
        </w:tc>
        <w:tc>
          <w:tcPr>
            <w:tcW w:w="141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生物信息学</w:t>
            </w:r>
          </w:p>
        </w:tc>
        <w:tc>
          <w:tcPr>
            <w:tcW w:w="39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53"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6"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5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4</w:t>
            </w:r>
          </w:p>
        </w:tc>
        <w:tc>
          <w:tcPr>
            <w:tcW w:w="56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152041</w:t>
            </w:r>
          </w:p>
        </w:tc>
        <w:tc>
          <w:tcPr>
            <w:tcW w:w="82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BIOL6112</w:t>
            </w:r>
            <w:r>
              <w:rPr>
                <w:rFonts w:hint="eastAsia" w:cs="Times New Roman" w:asciiTheme="minorEastAsia" w:hAnsiTheme="minorEastAsia"/>
                <w:szCs w:val="21"/>
              </w:rPr>
              <w:t>15</w:t>
            </w:r>
          </w:p>
        </w:tc>
        <w:tc>
          <w:tcPr>
            <w:tcW w:w="141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分子细胞生物学</w:t>
            </w:r>
          </w:p>
        </w:tc>
        <w:tc>
          <w:tcPr>
            <w:tcW w:w="39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53"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6"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5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56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152082</w:t>
            </w:r>
          </w:p>
        </w:tc>
        <w:tc>
          <w:tcPr>
            <w:tcW w:w="82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BASM7101</w:t>
            </w:r>
            <w:r>
              <w:rPr>
                <w:rFonts w:hint="eastAsia" w:cs="Times New Roman" w:asciiTheme="minorEastAsia" w:hAnsiTheme="minorEastAsia"/>
                <w:szCs w:val="21"/>
              </w:rPr>
              <w:t>15</w:t>
            </w:r>
          </w:p>
        </w:tc>
        <w:tc>
          <w:tcPr>
            <w:tcW w:w="141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人体解剖与组织胚胎学（2）</w:t>
            </w:r>
          </w:p>
        </w:tc>
        <w:tc>
          <w:tcPr>
            <w:tcW w:w="39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53" w:type="pct"/>
            <w:vMerge w:val="restar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根据学生的专业选修2学分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6"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5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152086</w:t>
            </w:r>
          </w:p>
        </w:tc>
        <w:tc>
          <w:tcPr>
            <w:tcW w:w="82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BASM7104</w:t>
            </w:r>
            <w:r>
              <w:rPr>
                <w:rFonts w:hint="eastAsia" w:cs="Times New Roman" w:asciiTheme="minorEastAsia" w:hAnsiTheme="minorEastAsia"/>
                <w:szCs w:val="21"/>
              </w:rPr>
              <w:t>15</w:t>
            </w:r>
          </w:p>
        </w:tc>
        <w:tc>
          <w:tcPr>
            <w:tcW w:w="141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免疫学（2）</w:t>
            </w:r>
          </w:p>
        </w:tc>
        <w:tc>
          <w:tcPr>
            <w:tcW w:w="39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53"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6"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5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3</w:t>
            </w:r>
          </w:p>
        </w:tc>
        <w:tc>
          <w:tcPr>
            <w:tcW w:w="56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152083</w:t>
            </w:r>
          </w:p>
        </w:tc>
        <w:tc>
          <w:tcPr>
            <w:tcW w:w="82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BASM7102</w:t>
            </w:r>
            <w:r>
              <w:rPr>
                <w:rFonts w:hint="eastAsia" w:cs="Times New Roman" w:asciiTheme="minorEastAsia" w:hAnsiTheme="minorEastAsia"/>
                <w:szCs w:val="21"/>
              </w:rPr>
              <w:t>15</w:t>
            </w:r>
          </w:p>
        </w:tc>
        <w:tc>
          <w:tcPr>
            <w:tcW w:w="141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病原生物学（2）</w:t>
            </w:r>
          </w:p>
        </w:tc>
        <w:tc>
          <w:tcPr>
            <w:tcW w:w="39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53"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6"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5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4</w:t>
            </w:r>
          </w:p>
        </w:tc>
        <w:tc>
          <w:tcPr>
            <w:tcW w:w="56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152084</w:t>
            </w:r>
          </w:p>
        </w:tc>
        <w:tc>
          <w:tcPr>
            <w:tcW w:w="82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BASM7103</w:t>
            </w:r>
            <w:r>
              <w:rPr>
                <w:rFonts w:hint="eastAsia" w:cs="Times New Roman" w:asciiTheme="minorEastAsia" w:hAnsiTheme="minorEastAsia"/>
                <w:szCs w:val="21"/>
              </w:rPr>
              <w:t>15</w:t>
            </w:r>
          </w:p>
        </w:tc>
        <w:tc>
          <w:tcPr>
            <w:tcW w:w="141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病理学与病理生理学（2）</w:t>
            </w:r>
          </w:p>
        </w:tc>
        <w:tc>
          <w:tcPr>
            <w:tcW w:w="39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53"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6"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5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5</w:t>
            </w:r>
          </w:p>
        </w:tc>
        <w:tc>
          <w:tcPr>
            <w:tcW w:w="56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152085</w:t>
            </w:r>
          </w:p>
        </w:tc>
        <w:tc>
          <w:tcPr>
            <w:tcW w:w="82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FORM7101</w:t>
            </w:r>
            <w:r>
              <w:rPr>
                <w:rFonts w:hint="eastAsia" w:cs="Times New Roman" w:asciiTheme="minorEastAsia" w:hAnsiTheme="minorEastAsia"/>
                <w:szCs w:val="21"/>
              </w:rPr>
              <w:t>15</w:t>
            </w:r>
          </w:p>
        </w:tc>
        <w:tc>
          <w:tcPr>
            <w:tcW w:w="141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法医学（2）</w:t>
            </w:r>
          </w:p>
        </w:tc>
        <w:tc>
          <w:tcPr>
            <w:tcW w:w="39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53"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6"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5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6</w:t>
            </w:r>
          </w:p>
        </w:tc>
        <w:tc>
          <w:tcPr>
            <w:tcW w:w="56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152183</w:t>
            </w:r>
          </w:p>
        </w:tc>
        <w:tc>
          <w:tcPr>
            <w:tcW w:w="82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STOM7103</w:t>
            </w:r>
            <w:r>
              <w:rPr>
                <w:rFonts w:hint="eastAsia" w:cs="Times New Roman" w:asciiTheme="minorEastAsia" w:hAnsiTheme="minorEastAsia"/>
                <w:szCs w:val="21"/>
              </w:rPr>
              <w:t>15</w:t>
            </w:r>
          </w:p>
        </w:tc>
        <w:tc>
          <w:tcPr>
            <w:tcW w:w="141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口腔生物医学（2）</w:t>
            </w:r>
          </w:p>
        </w:tc>
        <w:tc>
          <w:tcPr>
            <w:tcW w:w="39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53"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6" w:type="pct"/>
            <w:vMerge w:val="restar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szCs w:val="21"/>
              </w:rPr>
            </w:pPr>
            <w:r>
              <w:rPr>
                <w:rFonts w:hint="eastAsia" w:ascii="Times New Roman" w:hAnsi="Times New Roman" w:cs="Times New Roman"/>
                <w:bCs/>
                <w:szCs w:val="21"/>
              </w:rPr>
              <w:t>学科</w:t>
            </w:r>
            <w:r>
              <w:rPr>
                <w:rFonts w:ascii="Times New Roman" w:hAnsi="Times New Roman" w:cs="Times New Roman"/>
                <w:bCs/>
                <w:szCs w:val="21"/>
              </w:rPr>
              <w:t>选修课</w:t>
            </w:r>
          </w:p>
        </w:tc>
        <w:tc>
          <w:tcPr>
            <w:tcW w:w="35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56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152075</w:t>
            </w:r>
          </w:p>
        </w:tc>
        <w:tc>
          <w:tcPr>
            <w:tcW w:w="82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BASM6117</w:t>
            </w:r>
            <w:r>
              <w:rPr>
                <w:rFonts w:hint="eastAsia" w:cs="Times New Roman" w:asciiTheme="minorEastAsia" w:hAnsiTheme="minorEastAsia"/>
                <w:szCs w:val="21"/>
              </w:rPr>
              <w:t>15</w:t>
            </w:r>
          </w:p>
        </w:tc>
        <w:tc>
          <w:tcPr>
            <w:tcW w:w="141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医学科学研究导论</w:t>
            </w:r>
          </w:p>
        </w:tc>
        <w:tc>
          <w:tcPr>
            <w:tcW w:w="39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53" w:type="pct"/>
            <w:vMerge w:val="restar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I类选修课</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ascii="Times New Roman" w:hAnsi="Times New Roman" w:cs="Times New Roman"/>
                <w:szCs w:val="21"/>
              </w:rPr>
              <w:t>≥4学分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6"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5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152078</w:t>
            </w:r>
          </w:p>
        </w:tc>
        <w:tc>
          <w:tcPr>
            <w:tcW w:w="82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BASM6118</w:t>
            </w:r>
            <w:r>
              <w:rPr>
                <w:rFonts w:hint="eastAsia" w:cs="Times New Roman" w:asciiTheme="minorEastAsia" w:hAnsiTheme="minorEastAsia"/>
                <w:szCs w:val="21"/>
              </w:rPr>
              <w:t>15</w:t>
            </w:r>
          </w:p>
        </w:tc>
        <w:tc>
          <w:tcPr>
            <w:tcW w:w="141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诺贝尔奖论文剖析</w:t>
            </w:r>
          </w:p>
        </w:tc>
        <w:tc>
          <w:tcPr>
            <w:tcW w:w="39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53"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6"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bCs/>
                <w:szCs w:val="21"/>
              </w:rPr>
            </w:pPr>
          </w:p>
        </w:tc>
        <w:tc>
          <w:tcPr>
            <w:tcW w:w="35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3</w:t>
            </w:r>
          </w:p>
        </w:tc>
        <w:tc>
          <w:tcPr>
            <w:tcW w:w="56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152007</w:t>
            </w:r>
          </w:p>
        </w:tc>
        <w:tc>
          <w:tcPr>
            <w:tcW w:w="82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BASM6105</w:t>
            </w:r>
            <w:r>
              <w:rPr>
                <w:rFonts w:hint="eastAsia" w:cs="Times New Roman" w:asciiTheme="minorEastAsia" w:hAnsiTheme="minorEastAsia"/>
                <w:szCs w:val="21"/>
              </w:rPr>
              <w:t>15</w:t>
            </w:r>
          </w:p>
        </w:tc>
        <w:tc>
          <w:tcPr>
            <w:tcW w:w="141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医学免疫学</w:t>
            </w:r>
          </w:p>
        </w:tc>
        <w:tc>
          <w:tcPr>
            <w:tcW w:w="39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53"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6"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bCs/>
                <w:szCs w:val="21"/>
              </w:rPr>
            </w:pPr>
          </w:p>
        </w:tc>
        <w:tc>
          <w:tcPr>
            <w:tcW w:w="35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4</w:t>
            </w:r>
          </w:p>
        </w:tc>
        <w:tc>
          <w:tcPr>
            <w:tcW w:w="56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152042</w:t>
            </w:r>
          </w:p>
        </w:tc>
        <w:tc>
          <w:tcPr>
            <w:tcW w:w="82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BIOL6113</w:t>
            </w:r>
            <w:r>
              <w:rPr>
                <w:rFonts w:hint="eastAsia" w:cs="Times New Roman" w:asciiTheme="minorEastAsia" w:hAnsiTheme="minorEastAsia"/>
                <w:szCs w:val="21"/>
              </w:rPr>
              <w:t>15</w:t>
            </w:r>
          </w:p>
        </w:tc>
        <w:tc>
          <w:tcPr>
            <w:tcW w:w="141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医学遗传学</w:t>
            </w:r>
          </w:p>
        </w:tc>
        <w:tc>
          <w:tcPr>
            <w:tcW w:w="39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53"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6"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bCs/>
                <w:szCs w:val="21"/>
              </w:rPr>
            </w:pPr>
          </w:p>
        </w:tc>
        <w:tc>
          <w:tcPr>
            <w:tcW w:w="35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5</w:t>
            </w:r>
          </w:p>
        </w:tc>
        <w:tc>
          <w:tcPr>
            <w:tcW w:w="56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152073</w:t>
            </w:r>
          </w:p>
        </w:tc>
        <w:tc>
          <w:tcPr>
            <w:tcW w:w="82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BASM6116</w:t>
            </w:r>
            <w:r>
              <w:rPr>
                <w:rFonts w:hint="eastAsia" w:cs="Times New Roman" w:asciiTheme="minorEastAsia" w:hAnsiTheme="minorEastAsia"/>
                <w:szCs w:val="21"/>
              </w:rPr>
              <w:t>15</w:t>
            </w:r>
          </w:p>
        </w:tc>
        <w:tc>
          <w:tcPr>
            <w:tcW w:w="141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动物实验与实验动物学</w:t>
            </w:r>
          </w:p>
        </w:tc>
        <w:tc>
          <w:tcPr>
            <w:tcW w:w="39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53"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6" w:type="pct"/>
            <w:vMerge w:val="restar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bCs/>
                <w:szCs w:val="21"/>
              </w:rPr>
            </w:pPr>
            <w:r>
              <w:rPr>
                <w:rFonts w:hint="eastAsia" w:ascii="Times New Roman" w:hAnsi="Times New Roman" w:cs="Times New Roman"/>
                <w:bCs/>
                <w:szCs w:val="21"/>
              </w:rPr>
              <w:t>其他</w:t>
            </w:r>
            <w:r>
              <w:rPr>
                <w:rFonts w:ascii="Times New Roman" w:hAnsi="Times New Roman" w:cs="Times New Roman"/>
                <w:bCs/>
                <w:szCs w:val="21"/>
              </w:rPr>
              <w:t>选修课</w:t>
            </w:r>
          </w:p>
        </w:tc>
        <w:tc>
          <w:tcPr>
            <w:tcW w:w="35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1</w:t>
            </w:r>
          </w:p>
        </w:tc>
        <w:tc>
          <w:tcPr>
            <w:tcW w:w="56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hint="eastAsia" w:ascii="宋体" w:hAnsi="宋体" w:eastAsia="宋体" w:cs="Times New Roman"/>
                <w:szCs w:val="21"/>
              </w:rPr>
              <w:t>153044</w:t>
            </w:r>
          </w:p>
        </w:tc>
        <w:tc>
          <w:tcPr>
            <w:tcW w:w="82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BASM612615</w:t>
            </w:r>
          </w:p>
        </w:tc>
        <w:tc>
          <w:tcPr>
            <w:tcW w:w="141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研究生</w:t>
            </w:r>
            <w:r>
              <w:rPr>
                <w:rFonts w:ascii="Times New Roman" w:hAnsi="Times New Roman" w:eastAsia="宋体" w:cs="Times New Roman"/>
                <w:szCs w:val="21"/>
              </w:rPr>
              <w:t>论文写作</w:t>
            </w:r>
            <w:r>
              <w:rPr>
                <w:rFonts w:hint="eastAsia" w:ascii="Times New Roman" w:hAnsi="Times New Roman" w:eastAsia="宋体" w:cs="Times New Roman"/>
                <w:szCs w:val="21"/>
              </w:rPr>
              <w:t>指导（15）</w:t>
            </w:r>
          </w:p>
        </w:tc>
        <w:tc>
          <w:tcPr>
            <w:tcW w:w="39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（必修）</w:t>
            </w:r>
          </w:p>
        </w:tc>
        <w:tc>
          <w:tcPr>
            <w:tcW w:w="853" w:type="pct"/>
            <w:vMerge w:val="restar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II类选修</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ascii="Times New Roman" w:hAnsi="Times New Roman" w:cs="Times New Roman"/>
                <w:szCs w:val="21"/>
              </w:rPr>
              <w:t>≥4学分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6"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bCs/>
                <w:szCs w:val="21"/>
              </w:rPr>
            </w:pPr>
          </w:p>
        </w:tc>
        <w:tc>
          <w:tcPr>
            <w:tcW w:w="35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w:t>
            </w:r>
          </w:p>
        </w:tc>
        <w:tc>
          <w:tcPr>
            <w:tcW w:w="82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w:t>
            </w:r>
          </w:p>
        </w:tc>
        <w:tc>
          <w:tcPr>
            <w:tcW w:w="141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hint="eastAsia" w:ascii="Times New Roman" w:hAnsi="Times New Roman" w:cs="Times New Roman"/>
                <w:szCs w:val="21"/>
              </w:rPr>
              <w:t>在</w:t>
            </w:r>
            <w:r>
              <w:rPr>
                <w:rFonts w:ascii="Times New Roman" w:hAnsi="Times New Roman" w:cs="Times New Roman"/>
                <w:szCs w:val="21"/>
              </w:rPr>
              <w:t>通选课中至少选一门</w:t>
            </w:r>
          </w:p>
        </w:tc>
        <w:tc>
          <w:tcPr>
            <w:tcW w:w="393" w:type="pct"/>
            <w:vMerge w:val="restar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≥3</w:t>
            </w:r>
          </w:p>
        </w:tc>
        <w:tc>
          <w:tcPr>
            <w:tcW w:w="853"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6"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bCs/>
                <w:szCs w:val="21"/>
              </w:rPr>
            </w:pPr>
          </w:p>
        </w:tc>
        <w:tc>
          <w:tcPr>
            <w:tcW w:w="35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3</w:t>
            </w:r>
          </w:p>
        </w:tc>
        <w:tc>
          <w:tcPr>
            <w:tcW w:w="56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w:t>
            </w:r>
          </w:p>
        </w:tc>
        <w:tc>
          <w:tcPr>
            <w:tcW w:w="828"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w:t>
            </w:r>
          </w:p>
        </w:tc>
        <w:tc>
          <w:tcPr>
            <w:tcW w:w="141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eastAsia="宋体" w:cs="Times New Roman"/>
                <w:szCs w:val="21"/>
              </w:rPr>
              <w:t>研究生课程目录上选修</w:t>
            </w:r>
          </w:p>
        </w:tc>
        <w:tc>
          <w:tcPr>
            <w:tcW w:w="393"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c>
          <w:tcPr>
            <w:tcW w:w="853"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6"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r>
              <w:rPr>
                <w:rFonts w:hint="eastAsia" w:ascii="Times New Roman" w:hAnsi="Times New Roman" w:cs="Times New Roman"/>
                <w:bCs/>
                <w:szCs w:val="21"/>
              </w:rPr>
              <w:t>必修</w:t>
            </w:r>
            <w:r>
              <w:rPr>
                <w:rFonts w:ascii="Times New Roman" w:hAnsi="Times New Roman" w:cs="Times New Roman"/>
                <w:bCs/>
                <w:szCs w:val="21"/>
              </w:rPr>
              <w:t>环节</w:t>
            </w:r>
          </w:p>
        </w:tc>
        <w:tc>
          <w:tcPr>
            <w:tcW w:w="35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001999</w:t>
            </w:r>
          </w:p>
        </w:tc>
        <w:tc>
          <w:tcPr>
            <w:tcW w:w="82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BXHJ8003</w:t>
            </w:r>
            <w:r>
              <w:rPr>
                <w:rFonts w:hint="eastAsia" w:cs="Times New Roman" w:asciiTheme="minorEastAsia" w:hAnsiTheme="minorEastAsia"/>
                <w:szCs w:val="21"/>
              </w:rPr>
              <w:t>99</w:t>
            </w:r>
          </w:p>
        </w:tc>
        <w:tc>
          <w:tcPr>
            <w:tcW w:w="1411"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学术活动（讲座）博</w:t>
            </w:r>
          </w:p>
        </w:tc>
        <w:tc>
          <w:tcPr>
            <w:tcW w:w="39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2（硕1）</w:t>
            </w:r>
          </w:p>
        </w:tc>
        <w:tc>
          <w:tcPr>
            <w:tcW w:w="853"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17学分</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6"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5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001987</w:t>
            </w:r>
          </w:p>
        </w:tc>
        <w:tc>
          <w:tcPr>
            <w:tcW w:w="82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BXHJ6006</w:t>
            </w:r>
            <w:r>
              <w:rPr>
                <w:rFonts w:hint="eastAsia" w:cs="Times New Roman" w:asciiTheme="minorEastAsia" w:hAnsiTheme="minorEastAsia"/>
                <w:szCs w:val="21"/>
              </w:rPr>
              <w:t>99</w:t>
            </w:r>
          </w:p>
        </w:tc>
        <w:tc>
          <w:tcPr>
            <w:tcW w:w="1411"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社会实践</w:t>
            </w:r>
          </w:p>
        </w:tc>
        <w:tc>
          <w:tcPr>
            <w:tcW w:w="39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1（硕1）</w:t>
            </w:r>
          </w:p>
        </w:tc>
        <w:tc>
          <w:tcPr>
            <w:tcW w:w="85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6"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5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3</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001972</w:t>
            </w:r>
          </w:p>
        </w:tc>
        <w:tc>
          <w:tcPr>
            <w:tcW w:w="82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BXHJ8007</w:t>
            </w:r>
            <w:r>
              <w:rPr>
                <w:rFonts w:hint="eastAsia" w:cs="Times New Roman" w:asciiTheme="minorEastAsia" w:hAnsiTheme="minorEastAsia"/>
                <w:szCs w:val="21"/>
              </w:rPr>
              <w:t>99</w:t>
            </w:r>
          </w:p>
        </w:tc>
        <w:tc>
          <w:tcPr>
            <w:tcW w:w="1411"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两助一辅</w:t>
            </w:r>
          </w:p>
        </w:tc>
        <w:tc>
          <w:tcPr>
            <w:tcW w:w="39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5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6"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5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4</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001995</w:t>
            </w:r>
          </w:p>
        </w:tc>
        <w:tc>
          <w:tcPr>
            <w:tcW w:w="82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BXHJ8002</w:t>
            </w:r>
            <w:r>
              <w:rPr>
                <w:rFonts w:hint="eastAsia" w:cs="Times New Roman" w:asciiTheme="minorEastAsia" w:hAnsiTheme="minorEastAsia"/>
                <w:szCs w:val="21"/>
              </w:rPr>
              <w:t>99</w:t>
            </w:r>
          </w:p>
        </w:tc>
        <w:tc>
          <w:tcPr>
            <w:tcW w:w="1411"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基金撰写</w:t>
            </w:r>
          </w:p>
        </w:tc>
        <w:tc>
          <w:tcPr>
            <w:tcW w:w="39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85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6"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5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5</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001970</w:t>
            </w:r>
          </w:p>
        </w:tc>
        <w:tc>
          <w:tcPr>
            <w:tcW w:w="82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BXHJ8009</w:t>
            </w:r>
            <w:r>
              <w:rPr>
                <w:rFonts w:hint="eastAsia" w:cs="Times New Roman" w:asciiTheme="minorEastAsia" w:hAnsiTheme="minorEastAsia"/>
                <w:szCs w:val="21"/>
              </w:rPr>
              <w:t>99</w:t>
            </w:r>
          </w:p>
        </w:tc>
        <w:tc>
          <w:tcPr>
            <w:tcW w:w="1411"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国际化交流</w:t>
            </w:r>
          </w:p>
        </w:tc>
        <w:tc>
          <w:tcPr>
            <w:tcW w:w="39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85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6"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5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6</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cs="Times New Roman" w:asciiTheme="minorEastAsia" w:hAnsiTheme="minorEastAsia"/>
                <w:szCs w:val="21"/>
              </w:rPr>
              <w:t>001986</w:t>
            </w:r>
          </w:p>
        </w:tc>
        <w:tc>
          <w:tcPr>
            <w:tcW w:w="82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BXHJ8004</w:t>
            </w:r>
            <w:r>
              <w:rPr>
                <w:rFonts w:hint="eastAsia" w:cs="Times New Roman" w:asciiTheme="minorEastAsia" w:hAnsiTheme="minorEastAsia"/>
                <w:szCs w:val="21"/>
              </w:rPr>
              <w:t>99</w:t>
            </w:r>
          </w:p>
        </w:tc>
        <w:tc>
          <w:tcPr>
            <w:tcW w:w="1411"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开题报告（博）</w:t>
            </w:r>
          </w:p>
        </w:tc>
        <w:tc>
          <w:tcPr>
            <w:tcW w:w="39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2（硕1）</w:t>
            </w:r>
          </w:p>
        </w:tc>
        <w:tc>
          <w:tcPr>
            <w:tcW w:w="85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6"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5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7</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001994</w:t>
            </w:r>
          </w:p>
        </w:tc>
        <w:tc>
          <w:tcPr>
            <w:tcW w:w="82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BXHJ8001</w:t>
            </w:r>
            <w:r>
              <w:rPr>
                <w:rFonts w:hint="eastAsia" w:cs="Times New Roman" w:asciiTheme="minorEastAsia" w:hAnsiTheme="minorEastAsia"/>
                <w:szCs w:val="21"/>
              </w:rPr>
              <w:t>99</w:t>
            </w:r>
          </w:p>
        </w:tc>
        <w:tc>
          <w:tcPr>
            <w:tcW w:w="1411"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中期考核（博）</w:t>
            </w:r>
          </w:p>
        </w:tc>
        <w:tc>
          <w:tcPr>
            <w:tcW w:w="39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6（硕3）</w:t>
            </w:r>
          </w:p>
        </w:tc>
        <w:tc>
          <w:tcPr>
            <w:tcW w:w="85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6"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5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8</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001971</w:t>
            </w:r>
          </w:p>
        </w:tc>
        <w:tc>
          <w:tcPr>
            <w:tcW w:w="82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INFT600499</w:t>
            </w:r>
          </w:p>
        </w:tc>
        <w:tc>
          <w:tcPr>
            <w:tcW w:w="1411"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文献阅读</w:t>
            </w:r>
          </w:p>
        </w:tc>
        <w:tc>
          <w:tcPr>
            <w:tcW w:w="393"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85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6"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5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9</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001954</w:t>
            </w:r>
          </w:p>
        </w:tc>
        <w:tc>
          <w:tcPr>
            <w:tcW w:w="82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B</w:t>
            </w:r>
            <w:r>
              <w:rPr>
                <w:rFonts w:cs="Times New Roman" w:asciiTheme="minorEastAsia" w:hAnsiTheme="minorEastAsia"/>
                <w:szCs w:val="21"/>
              </w:rPr>
              <w:t>XHJ602499</w:t>
            </w:r>
          </w:p>
        </w:tc>
        <w:tc>
          <w:tcPr>
            <w:tcW w:w="1411"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hint="eastAsia" w:cs="Times New Roman" w:asciiTheme="minorEastAsia" w:hAnsiTheme="minorEastAsia"/>
                <w:szCs w:val="21"/>
              </w:rPr>
              <w:t>劳动教育</w:t>
            </w:r>
          </w:p>
        </w:tc>
        <w:tc>
          <w:tcPr>
            <w:tcW w:w="393"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0</w:t>
            </w:r>
          </w:p>
        </w:tc>
        <w:tc>
          <w:tcPr>
            <w:tcW w:w="85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6"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5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10</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001955</w:t>
            </w:r>
          </w:p>
        </w:tc>
        <w:tc>
          <w:tcPr>
            <w:tcW w:w="82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B</w:t>
            </w:r>
            <w:r>
              <w:rPr>
                <w:rFonts w:cs="Times New Roman" w:asciiTheme="minorEastAsia" w:hAnsiTheme="minorEastAsia"/>
                <w:szCs w:val="21"/>
              </w:rPr>
              <w:t>XHJ602399</w:t>
            </w:r>
          </w:p>
        </w:tc>
        <w:tc>
          <w:tcPr>
            <w:tcW w:w="1411"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cs="Times New Roman" w:asciiTheme="minorEastAsia" w:hAnsiTheme="minorEastAsia"/>
                <w:szCs w:val="21"/>
              </w:rPr>
            </w:pPr>
            <w:r>
              <w:rPr>
                <w:rFonts w:hint="eastAsia" w:cs="Times New Roman" w:asciiTheme="minorEastAsia" w:hAnsiTheme="minorEastAsia"/>
                <w:szCs w:val="21"/>
              </w:rPr>
              <w:t>美育</w:t>
            </w:r>
          </w:p>
        </w:tc>
        <w:tc>
          <w:tcPr>
            <w:tcW w:w="393"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0</w:t>
            </w:r>
          </w:p>
        </w:tc>
        <w:tc>
          <w:tcPr>
            <w:tcW w:w="85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86"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5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11</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001956</w:t>
            </w:r>
          </w:p>
        </w:tc>
        <w:tc>
          <w:tcPr>
            <w:tcW w:w="82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B</w:t>
            </w:r>
            <w:r>
              <w:rPr>
                <w:rFonts w:cs="Times New Roman" w:asciiTheme="minorEastAsia" w:hAnsiTheme="minorEastAsia"/>
                <w:szCs w:val="21"/>
              </w:rPr>
              <w:t>XHJ602299</w:t>
            </w:r>
          </w:p>
        </w:tc>
        <w:tc>
          <w:tcPr>
            <w:tcW w:w="1411"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cs="Times New Roman" w:asciiTheme="minorEastAsia" w:hAnsiTheme="minorEastAsia"/>
                <w:szCs w:val="21"/>
              </w:rPr>
            </w:pPr>
            <w:r>
              <w:rPr>
                <w:rFonts w:hint="eastAsia" w:cs="Times New Roman" w:asciiTheme="minorEastAsia" w:hAnsiTheme="minorEastAsia"/>
                <w:szCs w:val="21"/>
              </w:rPr>
              <w:t>体育</w:t>
            </w:r>
          </w:p>
        </w:tc>
        <w:tc>
          <w:tcPr>
            <w:tcW w:w="393"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0</w:t>
            </w:r>
          </w:p>
        </w:tc>
        <w:tc>
          <w:tcPr>
            <w:tcW w:w="85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bl>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r>
        <w:rPr>
          <w:rFonts w:ascii="黑体" w:hAnsi="黑体" w:eastAsia="黑体"/>
          <w:sz w:val="24"/>
          <w:szCs w:val="24"/>
        </w:rPr>
        <w:t>六、</w:t>
      </w:r>
      <w:r>
        <w:rPr>
          <w:rFonts w:hint="eastAsia" w:ascii="黑体" w:hAnsi="黑体" w:eastAsia="黑体"/>
          <w:sz w:val="24"/>
          <w:szCs w:val="24"/>
        </w:rPr>
        <w:t>必修</w:t>
      </w:r>
      <w:r>
        <w:rPr>
          <w:rFonts w:ascii="黑体" w:hAnsi="黑体" w:eastAsia="黑体"/>
          <w:sz w:val="24"/>
          <w:szCs w:val="24"/>
        </w:rPr>
        <w:t>环节</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．学</w:t>
      </w:r>
      <w:r>
        <w:rPr>
          <w:rFonts w:ascii="Times New Roman" w:hAnsi="Times New Roman" w:eastAsia="宋体" w:cs="Times New Roman"/>
          <w:b/>
          <w:bCs/>
          <w:szCs w:val="21"/>
        </w:rPr>
        <w:t>术活动（讲座）</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硕博贯通</w:t>
      </w:r>
      <w:r>
        <w:rPr>
          <w:rFonts w:ascii="Times New Roman" w:hAnsi="Times New Roman" w:eastAsia="宋体" w:cs="Times New Roman"/>
          <w:szCs w:val="21"/>
        </w:rPr>
        <w:t>研究生学术活动（讲座）分为必听讲座和选听讲座。必听讲座为</w:t>
      </w:r>
      <w:r>
        <w:rPr>
          <w:rFonts w:cs="Times New Roman" w:asciiTheme="minorEastAsia" w:hAnsiTheme="minorEastAsia"/>
          <w:szCs w:val="21"/>
        </w:rPr>
        <w:t>“科学道德与学风建设”</w:t>
      </w:r>
      <w:r>
        <w:rPr>
          <w:rFonts w:ascii="Times New Roman" w:hAnsi="Times New Roman" w:eastAsia="宋体" w:cs="Times New Roman"/>
          <w:szCs w:val="21"/>
        </w:rPr>
        <w:t>；选听讲座包括与学科紧密相关</w:t>
      </w:r>
      <w:r>
        <w:rPr>
          <w:rFonts w:cs="Times New Roman" w:asciiTheme="minorEastAsia" w:hAnsiTheme="minorEastAsia"/>
          <w:szCs w:val="21"/>
        </w:rPr>
        <w:t>的“学</w:t>
      </w:r>
      <w:r>
        <w:rPr>
          <w:rFonts w:ascii="Times New Roman" w:hAnsi="Times New Roman" w:eastAsia="宋体" w:cs="Times New Roman"/>
          <w:szCs w:val="21"/>
        </w:rPr>
        <w:t>科前沿系列专题</w:t>
      </w:r>
      <w:r>
        <w:rPr>
          <w:rFonts w:cs="Times New Roman" w:asciiTheme="minorEastAsia" w:hAnsiTheme="minorEastAsia"/>
          <w:szCs w:val="21"/>
        </w:rPr>
        <w:t>讲座”（</w:t>
      </w:r>
      <w:r>
        <w:rPr>
          <w:rFonts w:ascii="Times New Roman" w:hAnsi="Times New Roman" w:eastAsia="宋体" w:cs="Times New Roman"/>
          <w:szCs w:val="21"/>
        </w:rPr>
        <w:t>由各二级学科组织若干教授对本学科前沿知识进行讲座，每个讲座由5个以上讲座组成）一个系列和在全校范围内选听</w:t>
      </w:r>
      <w:r>
        <w:rPr>
          <w:rFonts w:cs="Times New Roman" w:asciiTheme="minorEastAsia" w:hAnsiTheme="minorEastAsia"/>
          <w:szCs w:val="21"/>
        </w:rPr>
        <w:t>“学术讲座”</w:t>
      </w:r>
      <w:r>
        <w:rPr>
          <w:rFonts w:ascii="Times New Roman" w:hAnsi="Times New Roman" w:eastAsia="宋体" w:cs="Times New Roman"/>
          <w:szCs w:val="21"/>
        </w:rPr>
        <w:t>1次，自己公开讲座1次，完成后记2学分</w:t>
      </w:r>
      <w:r>
        <w:rPr>
          <w:rFonts w:hint="eastAsia"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w:t>
      </w:r>
      <w:r>
        <w:rPr>
          <w:rFonts w:ascii="Times New Roman" w:hAnsi="Times New Roman" w:eastAsia="宋体" w:cs="Times New Roman"/>
          <w:b/>
          <w:bCs/>
          <w:szCs w:val="21"/>
        </w:rPr>
        <w:t>社会实践</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w:t>
      </w:r>
      <w:r>
        <w:rPr>
          <w:rFonts w:cs="Times New Roman" w:asciiTheme="minorEastAsia" w:hAnsiTheme="minorEastAsia"/>
          <w:szCs w:val="21"/>
        </w:rPr>
        <w:t>社会实践</w:t>
      </w:r>
      <w:r>
        <w:rPr>
          <w:rFonts w:hint="eastAsia" w:cs="Times New Roman" w:asciiTheme="minorEastAsia" w:hAnsiTheme="minorEastAsia"/>
          <w:szCs w:val="21"/>
        </w:rPr>
        <w:t>”</w:t>
      </w:r>
      <w:r>
        <w:rPr>
          <w:rFonts w:cs="Times New Roman" w:asciiTheme="minorEastAsia" w:hAnsiTheme="minorEastAsia"/>
          <w:szCs w:val="21"/>
        </w:rPr>
        <w:t>是指研究生在校学习期间，除完成本学科规定的业务实践外，接触社会、了解社会、服务社会的实践活动。</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可以通过组织和参与社会调查、支教、扶贫及其他志愿者服务等方式进行，提倡以小组或团队形式开展活动，累计不少于</w:t>
      </w:r>
      <w:r>
        <w:rPr>
          <w:rFonts w:ascii="Times New Roman" w:hAnsi="Times New Roman" w:cs="Times New Roman"/>
          <w:szCs w:val="21"/>
        </w:rPr>
        <w:t>10</w:t>
      </w:r>
      <w:r>
        <w:rPr>
          <w:rFonts w:cs="Times New Roman" w:asciiTheme="minorEastAsia" w:hAnsiTheme="minorEastAsia"/>
          <w:szCs w:val="21"/>
        </w:rPr>
        <w:t>个工作日。</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研</w:t>
      </w:r>
      <w:r>
        <w:rPr>
          <w:rFonts w:cs="Times New Roman" w:asciiTheme="minorEastAsia" w:hAnsiTheme="minorEastAsia"/>
          <w:spacing w:val="-2"/>
          <w:szCs w:val="21"/>
        </w:rPr>
        <w:t>究生完成</w:t>
      </w:r>
      <w:r>
        <w:rPr>
          <w:rFonts w:hint="eastAsia" w:cs="Times New Roman" w:asciiTheme="minorEastAsia" w:hAnsiTheme="minorEastAsia"/>
          <w:spacing w:val="-2"/>
          <w:szCs w:val="21"/>
        </w:rPr>
        <w:t>“</w:t>
      </w:r>
      <w:r>
        <w:rPr>
          <w:rFonts w:cs="Times New Roman" w:asciiTheme="minorEastAsia" w:hAnsiTheme="minorEastAsia"/>
          <w:spacing w:val="-2"/>
          <w:szCs w:val="21"/>
        </w:rPr>
        <w:t>社会实践</w:t>
      </w:r>
      <w:r>
        <w:rPr>
          <w:rFonts w:hint="eastAsia" w:cs="Times New Roman" w:asciiTheme="minorEastAsia" w:hAnsiTheme="minorEastAsia"/>
          <w:spacing w:val="-2"/>
          <w:szCs w:val="21"/>
        </w:rPr>
        <w:t>”</w:t>
      </w:r>
      <w:r>
        <w:rPr>
          <w:rFonts w:cs="Times New Roman" w:asciiTheme="minorEastAsia" w:hAnsiTheme="minorEastAsia"/>
          <w:spacing w:val="-2"/>
          <w:szCs w:val="21"/>
        </w:rPr>
        <w:t>活动后，需撰写不少于</w:t>
      </w:r>
      <w:r>
        <w:rPr>
          <w:rFonts w:ascii="Times New Roman" w:hAnsi="Times New Roman" w:cs="Times New Roman"/>
          <w:spacing w:val="-2"/>
          <w:szCs w:val="21"/>
        </w:rPr>
        <w:t>3000</w:t>
      </w:r>
      <w:r>
        <w:rPr>
          <w:rFonts w:cs="Times New Roman" w:asciiTheme="minorEastAsia" w:hAnsiTheme="minorEastAsia"/>
          <w:spacing w:val="-2"/>
          <w:szCs w:val="21"/>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rFonts w:ascii="Times New Roman" w:hAnsi="Times New Roman" w:cs="Times New Roman"/>
          <w:spacing w:val="-2"/>
          <w:szCs w:val="21"/>
        </w:rPr>
        <w:t>1</w:t>
      </w:r>
      <w:r>
        <w:rPr>
          <w:rFonts w:cs="Times New Roman" w:asciiTheme="minorEastAsia" w:hAnsiTheme="minorEastAsia"/>
          <w:spacing w:val="-2"/>
          <w:szCs w:val="21"/>
        </w:rPr>
        <w:t>学分。</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w:t>
      </w:r>
      <w:r>
        <w:rPr>
          <w:rFonts w:ascii="Times New Roman" w:hAnsi="Times New Roman" w:eastAsia="宋体" w:cs="Times New Roman"/>
          <w:b/>
          <w:bCs/>
          <w:szCs w:val="21"/>
        </w:rPr>
        <w:t>两助一辅</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w:t>
      </w:r>
      <w:r>
        <w:rPr>
          <w:rFonts w:cs="Times New Roman" w:asciiTheme="minorEastAsia" w:hAnsiTheme="minorEastAsia"/>
          <w:szCs w:val="21"/>
        </w:rPr>
        <w:t>两助一辅</w:t>
      </w:r>
      <w:r>
        <w:rPr>
          <w:rFonts w:hint="eastAsia" w:cs="Times New Roman" w:asciiTheme="minorEastAsia" w:hAnsiTheme="minorEastAsia"/>
          <w:szCs w:val="21"/>
        </w:rPr>
        <w:t>”</w:t>
      </w:r>
      <w:r>
        <w:rPr>
          <w:rFonts w:cs="Times New Roman" w:asciiTheme="minorEastAsia" w:hAnsiTheme="minorEastAsia"/>
          <w:szCs w:val="21"/>
        </w:rPr>
        <w:t>是指研究生担任助教、助管和辅导员工作，其目的是培养研究生的综合能力，是研究生培养过程的有机组成部分。</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全日制博士研究生在培养过程中必须完成至少一个标准岗位的助教、助管或辅导员工作。该环节纳入学分管理，通过后记</w:t>
      </w:r>
      <w:r>
        <w:rPr>
          <w:rFonts w:ascii="Times New Roman" w:hAnsi="Times New Roman" w:cs="Times New Roman"/>
          <w:szCs w:val="21"/>
        </w:rPr>
        <w:t>2</w:t>
      </w:r>
      <w:r>
        <w:rPr>
          <w:rFonts w:cs="Times New Roman" w:asciiTheme="minorEastAsia" w:hAnsiTheme="minorEastAsia"/>
          <w:szCs w:val="21"/>
        </w:rPr>
        <w:t>学分。</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4</w:t>
      </w:r>
      <w:r>
        <w:rPr>
          <w:rFonts w:hint="eastAsia" w:ascii="Times New Roman" w:hAnsi="Times New Roman" w:eastAsia="宋体" w:cs="Times New Roman"/>
          <w:b/>
          <w:bCs/>
          <w:szCs w:val="21"/>
        </w:rPr>
        <w:t>．</w:t>
      </w:r>
      <w:r>
        <w:rPr>
          <w:rFonts w:ascii="Times New Roman" w:hAnsi="Times New Roman" w:eastAsia="宋体" w:cs="Times New Roman"/>
          <w:b/>
          <w:bCs/>
          <w:szCs w:val="21"/>
        </w:rPr>
        <w:t>基金撰写</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kern w:val="0"/>
          <w:szCs w:val="21"/>
        </w:rPr>
      </w:pPr>
      <w:r>
        <w:rPr>
          <w:rFonts w:hint="eastAsia" w:ascii="Times New Roman" w:hAnsi="Times New Roman" w:eastAsia="宋体" w:cs="Times New Roman"/>
          <w:szCs w:val="21"/>
        </w:rPr>
        <w:t>硕博贯通</w:t>
      </w:r>
      <w:r>
        <w:rPr>
          <w:rFonts w:cs="Times New Roman" w:asciiTheme="minorEastAsia" w:hAnsiTheme="minorEastAsia"/>
          <w:szCs w:val="21"/>
        </w:rPr>
        <w:t>研究生在学习期间，须在导师指导下，完成一项国家科研基金申请书的撰写，培养博士生申请科研项目的能力，导师同意通过后，记</w:t>
      </w:r>
      <w:r>
        <w:rPr>
          <w:rFonts w:ascii="Times New Roman" w:hAnsi="Times New Roman" w:cs="Times New Roman"/>
          <w:szCs w:val="21"/>
        </w:rPr>
        <w:t>1</w:t>
      </w:r>
      <w:r>
        <w:rPr>
          <w:rFonts w:cs="Times New Roman" w:asciiTheme="minorEastAsia" w:hAnsiTheme="minorEastAsia"/>
          <w:szCs w:val="21"/>
        </w:rPr>
        <w:t>学分。</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5</w:t>
      </w:r>
      <w:r>
        <w:rPr>
          <w:rFonts w:hint="eastAsia" w:ascii="Times New Roman" w:hAnsi="Times New Roman" w:eastAsia="宋体" w:cs="Times New Roman"/>
          <w:b/>
          <w:bCs/>
          <w:szCs w:val="21"/>
        </w:rPr>
        <w:t>．</w:t>
      </w:r>
      <w:r>
        <w:rPr>
          <w:rFonts w:ascii="Times New Roman" w:hAnsi="Times New Roman" w:eastAsia="宋体" w:cs="Times New Roman"/>
          <w:b/>
          <w:bCs/>
          <w:szCs w:val="21"/>
        </w:rPr>
        <w:t>国际化交流</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kern w:val="0"/>
          <w:szCs w:val="21"/>
        </w:rPr>
        <w:t>立足于培养</w:t>
      </w:r>
      <w:r>
        <w:rPr>
          <w:rFonts w:hint="eastAsia" w:ascii="Times New Roman" w:hAnsi="Times New Roman" w:eastAsia="宋体" w:cs="Times New Roman"/>
          <w:szCs w:val="21"/>
        </w:rPr>
        <w:t>硕博贯通</w:t>
      </w:r>
      <w:r>
        <w:rPr>
          <w:rFonts w:cs="Times New Roman" w:asciiTheme="minorEastAsia" w:hAnsiTheme="minorEastAsia"/>
          <w:kern w:val="0"/>
          <w:szCs w:val="21"/>
        </w:rPr>
        <w:t>研究生的全球化视野，</w:t>
      </w:r>
      <w:r>
        <w:rPr>
          <w:rFonts w:cs="Times New Roman" w:asciiTheme="minorEastAsia" w:hAnsiTheme="minorEastAsia"/>
          <w:szCs w:val="21"/>
        </w:rPr>
        <w:t>研究生在校期间，达到以下条件之一记1学分：</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1</w:t>
      </w:r>
      <w:r>
        <w:rPr>
          <w:rFonts w:cs="Times New Roman" w:asciiTheme="minorEastAsia" w:hAnsiTheme="minorEastAsia"/>
          <w:szCs w:val="21"/>
        </w:rPr>
        <w:t>）</w:t>
      </w:r>
      <w:r>
        <w:rPr>
          <w:rFonts w:hint="eastAsia" w:ascii="Times New Roman" w:hAnsi="Times New Roman" w:cs="Times New Roman"/>
          <w:szCs w:val="21"/>
        </w:rPr>
        <w:t>CSC</w:t>
      </w:r>
      <w:r>
        <w:rPr>
          <w:rFonts w:hint="eastAsia" w:cs="Times New Roman" w:asciiTheme="minorEastAsia" w:hAnsiTheme="minorEastAsia"/>
          <w:szCs w:val="21"/>
        </w:rPr>
        <w:t>项目；</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2</w:t>
      </w:r>
      <w:r>
        <w:rPr>
          <w:rFonts w:cs="Times New Roman" w:asciiTheme="minorEastAsia" w:hAnsiTheme="minorEastAsia"/>
          <w:szCs w:val="21"/>
        </w:rPr>
        <w:t>）</w:t>
      </w:r>
      <w:r>
        <w:rPr>
          <w:rFonts w:hint="eastAsia" w:cs="Times New Roman" w:asciiTheme="minorEastAsia" w:hAnsiTheme="minorEastAsia"/>
          <w:szCs w:val="21"/>
        </w:rPr>
        <w:t>与国（境）外</w:t>
      </w:r>
      <w:r>
        <w:rPr>
          <w:rFonts w:cs="Times New Roman" w:asciiTheme="minorEastAsia" w:hAnsiTheme="minorEastAsia"/>
          <w:szCs w:val="21"/>
        </w:rPr>
        <w:t>联合培养；</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3</w:t>
      </w:r>
      <w:r>
        <w:rPr>
          <w:rFonts w:cs="Times New Roman" w:asciiTheme="minorEastAsia" w:hAnsiTheme="minorEastAsia"/>
          <w:szCs w:val="21"/>
        </w:rPr>
        <w:t>）</w:t>
      </w:r>
      <w:r>
        <w:rPr>
          <w:rFonts w:hint="eastAsia" w:cs="Times New Roman" w:asciiTheme="minorEastAsia" w:hAnsiTheme="minorEastAsia"/>
          <w:szCs w:val="21"/>
        </w:rPr>
        <w:t>国（境）外</w:t>
      </w:r>
      <w:r>
        <w:rPr>
          <w:rFonts w:cs="Times New Roman" w:asciiTheme="minorEastAsia" w:hAnsiTheme="minorEastAsia"/>
          <w:szCs w:val="21"/>
        </w:rPr>
        <w:t>短期出</w:t>
      </w:r>
      <w:r>
        <w:rPr>
          <w:rFonts w:hint="eastAsia" w:cs="Times New Roman" w:asciiTheme="minorEastAsia" w:hAnsiTheme="minorEastAsia"/>
          <w:szCs w:val="21"/>
        </w:rPr>
        <w:t>访、国际组织实习（三个月以上）；</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4</w:t>
      </w:r>
      <w:r>
        <w:rPr>
          <w:rFonts w:cs="Times New Roman" w:asciiTheme="minorEastAsia" w:hAnsiTheme="minorEastAsia"/>
          <w:szCs w:val="21"/>
        </w:rPr>
        <w:t>）国内外举办的</w:t>
      </w:r>
      <w:r>
        <w:rPr>
          <w:rFonts w:hint="eastAsia" w:cs="Times New Roman" w:asciiTheme="minorEastAsia" w:hAnsiTheme="minorEastAsia"/>
          <w:szCs w:val="21"/>
        </w:rPr>
        <w:t>高水平</w:t>
      </w:r>
      <w:r>
        <w:rPr>
          <w:rFonts w:cs="Times New Roman" w:asciiTheme="minorEastAsia" w:hAnsiTheme="minorEastAsia"/>
          <w:szCs w:val="21"/>
        </w:rPr>
        <w:t>国际</w:t>
      </w:r>
      <w:r>
        <w:rPr>
          <w:rFonts w:hint="eastAsia" w:cs="Times New Roman" w:asciiTheme="minorEastAsia" w:hAnsiTheme="minorEastAsia"/>
          <w:szCs w:val="21"/>
        </w:rPr>
        <w:t>学术</w:t>
      </w:r>
      <w:r>
        <w:rPr>
          <w:rFonts w:cs="Times New Roman" w:asciiTheme="minorEastAsia" w:hAnsiTheme="minorEastAsia"/>
          <w:szCs w:val="21"/>
        </w:rPr>
        <w:t>会议（参加、投稿被书面收录、壁报、小组发言、大会发言，均被认可，但需提供详细的书面证明邀请信、参会照片、收录节选、壁报展示及照片、小组发言或大会发言照片等）；</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5</w:t>
      </w:r>
      <w:r>
        <w:rPr>
          <w:rFonts w:ascii="Times New Roman" w:hAnsi="Times New Roman" w:cs="Times New Roman"/>
          <w:szCs w:val="21"/>
        </w:rPr>
        <w:t>）</w:t>
      </w:r>
      <w:r>
        <w:rPr>
          <w:rFonts w:hint="eastAsia" w:cs="Times New Roman" w:asciiTheme="minorEastAsia" w:hAnsiTheme="minorEastAsia"/>
          <w:szCs w:val="21"/>
        </w:rPr>
        <w:t>选修国外高校全英文在线课程（</w:t>
      </w:r>
      <w:r>
        <w:rPr>
          <w:rFonts w:hint="eastAsia" w:ascii="Times New Roman" w:hAnsi="Times New Roman" w:cs="Times New Roman"/>
          <w:szCs w:val="21"/>
        </w:rPr>
        <w:t>MOOC</w:t>
      </w:r>
      <w:r>
        <w:rPr>
          <w:rFonts w:hint="eastAsia" w:cs="Times New Roman" w:asciiTheme="minorEastAsia" w:hAnsiTheme="minorEastAsia"/>
          <w:szCs w:val="21"/>
        </w:rPr>
        <w:t>），并取得合格证书；</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6</w:t>
      </w:r>
      <w:r>
        <w:rPr>
          <w:rFonts w:cs="Times New Roman" w:asciiTheme="minorEastAsia" w:hAnsiTheme="minorEastAsia"/>
          <w:szCs w:val="21"/>
        </w:rPr>
        <w:t>）</w:t>
      </w:r>
      <w:r>
        <w:rPr>
          <w:rFonts w:hint="eastAsia" w:cs="Times New Roman" w:asciiTheme="minorEastAsia" w:hAnsiTheme="minorEastAsia"/>
          <w:szCs w:val="21"/>
        </w:rPr>
        <w:t>参加国际专业竞赛并获奖。</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6．文献</w:t>
      </w:r>
      <w:r>
        <w:rPr>
          <w:rFonts w:ascii="Times New Roman" w:hAnsi="Times New Roman" w:eastAsia="宋体" w:cs="Times New Roman"/>
          <w:b/>
          <w:bCs/>
          <w:szCs w:val="21"/>
        </w:rPr>
        <w:t>阅读</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博士研究生</w:t>
      </w:r>
      <w:r>
        <w:rPr>
          <w:rFonts w:ascii="Times New Roman" w:hAnsi="Times New Roman" w:eastAsia="宋体" w:cs="Times New Roman"/>
          <w:szCs w:val="21"/>
        </w:rPr>
        <w:t>在第</w:t>
      </w:r>
      <w:r>
        <w:rPr>
          <w:rFonts w:hint="eastAsia" w:ascii="Times New Roman" w:hAnsi="Times New Roman" w:eastAsia="宋体" w:cs="Times New Roman"/>
          <w:szCs w:val="21"/>
        </w:rPr>
        <w:t>三</w:t>
      </w:r>
      <w:r>
        <w:rPr>
          <w:rFonts w:ascii="Times New Roman" w:hAnsi="Times New Roman" w:eastAsia="宋体" w:cs="Times New Roman"/>
          <w:szCs w:val="21"/>
        </w:rPr>
        <w:t>学</w:t>
      </w:r>
      <w:r>
        <w:rPr>
          <w:rFonts w:hint="eastAsia" w:ascii="Times New Roman" w:hAnsi="Times New Roman" w:eastAsia="宋体" w:cs="Times New Roman"/>
          <w:szCs w:val="21"/>
        </w:rPr>
        <w:t>期</w:t>
      </w:r>
      <w:r>
        <w:rPr>
          <w:rFonts w:ascii="Times New Roman" w:hAnsi="Times New Roman" w:eastAsia="宋体" w:cs="Times New Roman"/>
          <w:szCs w:val="21"/>
        </w:rPr>
        <w:t>完成</w:t>
      </w:r>
      <w:r>
        <w:rPr>
          <w:rFonts w:hint="eastAsia" w:ascii="Times New Roman" w:hAnsi="Times New Roman" w:eastAsia="宋体" w:cs="Times New Roman"/>
          <w:szCs w:val="21"/>
        </w:rPr>
        <w:t>文献阅读</w:t>
      </w:r>
      <w:r>
        <w:rPr>
          <w:rFonts w:ascii="Times New Roman" w:hAnsi="Times New Roman" w:eastAsia="宋体" w:cs="Times New Roman"/>
          <w:szCs w:val="21"/>
        </w:rPr>
        <w:t>考核</w:t>
      </w:r>
      <w:r>
        <w:rPr>
          <w:rFonts w:hint="eastAsia" w:ascii="Times New Roman" w:hAnsi="Times New Roman" w:eastAsia="宋体" w:cs="Times New Roman"/>
          <w:szCs w:val="21"/>
        </w:rPr>
        <w:t>。</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文献阅读是引领研究生特别是博士生夯实学术根基、迅速进入学科专业研究领域和培养研究生科研素养的重要手段，是课程知识扩展和补充的重要方式。学生入学后</w:t>
      </w:r>
      <w:r>
        <w:rPr>
          <w:rFonts w:ascii="Times New Roman" w:hAnsi="Times New Roman" w:eastAsia="宋体" w:cs="Times New Roman"/>
          <w:szCs w:val="21"/>
        </w:rPr>
        <w:t>结合学科发展和论文研究方向，在导师指导下阅读国内外文献资料。</w:t>
      </w:r>
      <w:r>
        <w:rPr>
          <w:rFonts w:hint="eastAsia" w:ascii="Times New Roman" w:hAnsi="Times New Roman" w:eastAsia="宋体" w:cs="Times New Roman"/>
          <w:szCs w:val="21"/>
        </w:rPr>
        <w:t>考核形式采用提交文献综述形式（要求字数不少于</w:t>
      </w:r>
      <w:r>
        <w:rPr>
          <w:rFonts w:ascii="Times New Roman" w:hAnsi="Times New Roman" w:eastAsia="宋体" w:cs="Times New Roman"/>
          <w:szCs w:val="21"/>
        </w:rPr>
        <w:t>5000</w:t>
      </w:r>
      <w:r>
        <w:rPr>
          <w:rFonts w:hint="eastAsia" w:ascii="Times New Roman" w:hAnsi="Times New Roman" w:eastAsia="宋体" w:cs="Times New Roman"/>
          <w:szCs w:val="21"/>
        </w:rPr>
        <w:t>字，参考文献应包含中文文献和外文文献，综述文献不少于</w:t>
      </w:r>
      <w:r>
        <w:rPr>
          <w:rFonts w:ascii="Times New Roman" w:hAnsi="Times New Roman" w:eastAsia="宋体" w:cs="Times New Roman"/>
          <w:szCs w:val="21"/>
        </w:rPr>
        <w:t>60</w:t>
      </w:r>
      <w:r>
        <w:rPr>
          <w:rFonts w:hint="eastAsia" w:ascii="Times New Roman" w:hAnsi="Times New Roman" w:eastAsia="宋体" w:cs="Times New Roman"/>
          <w:szCs w:val="21"/>
        </w:rPr>
        <w:t>篇），导师签字确认后提交，学院组织评审专家对综述报告的选题、格式、内容以及书面表达能力等进行评审，审核通过者，记</w:t>
      </w:r>
      <w:r>
        <w:rPr>
          <w:rFonts w:ascii="Times New Roman" w:hAnsi="Times New Roman" w:eastAsia="宋体" w:cs="Times New Roman"/>
          <w:szCs w:val="21"/>
        </w:rPr>
        <w:t>2</w:t>
      </w:r>
      <w:r>
        <w:rPr>
          <w:rFonts w:hint="eastAsia" w:ascii="Times New Roman" w:hAnsi="Times New Roman" w:eastAsia="宋体" w:cs="Times New Roman"/>
          <w:szCs w:val="21"/>
        </w:rPr>
        <w:t>学分。审核未通过者，按照专家审核意见完成修改后提交学院进行二次评审。经两次审核都未通过者，不记入学分。考核工作由医学部各学院统一安排。</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文献阅读考核需在博士生中期考核前完成考核。</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7</w:t>
      </w:r>
      <w:r>
        <w:rPr>
          <w:rFonts w:hint="eastAsia" w:ascii="Times New Roman" w:hAnsi="Times New Roman" w:eastAsia="宋体" w:cs="Times New Roman"/>
          <w:b/>
          <w:bCs/>
          <w:szCs w:val="21"/>
        </w:rPr>
        <w:t>．</w:t>
      </w:r>
      <w:r>
        <w:rPr>
          <w:rFonts w:ascii="Times New Roman" w:hAnsi="Times New Roman" w:eastAsia="宋体" w:cs="Times New Roman"/>
          <w:b/>
          <w:bCs/>
          <w:szCs w:val="21"/>
        </w:rPr>
        <w:t>开题报告</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硕博连读生，硕士阶段第二学年内完成博士资格考核，在进入博士阶段第一学年内完成开题报告；直博生，在第二学年内完成开题报告。</w:t>
      </w:r>
      <w:r>
        <w:rPr>
          <w:rFonts w:hint="eastAsia" w:cs="Times New Roman" w:asciiTheme="minorEastAsia" w:hAnsiTheme="minorEastAsia"/>
          <w:szCs w:val="21"/>
        </w:rPr>
        <w:t>具体时间由导师或院系决定，并上报学院（系）教学管理部门备案。从开题报告通过至申请论文答辩的时间一般不少于一年。开题报告由医学部各学院（系）组织，应以学术活动的形式在学院（系）内公开进行，并邀请相关教师和研究生参加。各学院（系）邀请本学院督导列席旁听并打分。开题报告评审专家小组由3-5名校内外博士生导师组成（导师及导师团队成员为主体）。考查内容包括：文献综述、选题意义与科学依据、研究基础、研究内容与计划、工作难点及特色、预期成果以及可能产生的创新点、论文选题与学科的匹配度等。经评审通过的开题报告，须以书面形式交医学部人才培养处审核备案。</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8</w:t>
      </w:r>
      <w:r>
        <w:rPr>
          <w:rFonts w:hint="eastAsia" w:ascii="Times New Roman" w:hAnsi="Times New Roman" w:eastAsia="宋体" w:cs="Times New Roman"/>
          <w:b/>
          <w:bCs/>
          <w:szCs w:val="21"/>
        </w:rPr>
        <w:t>．</w:t>
      </w:r>
      <w:r>
        <w:rPr>
          <w:rFonts w:ascii="Times New Roman" w:hAnsi="Times New Roman" w:eastAsia="宋体" w:cs="Times New Roman"/>
          <w:b/>
          <w:bCs/>
          <w:szCs w:val="21"/>
        </w:rPr>
        <w:t>中期考核</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中期考核一般安排在第四学期（贯通培养研究生转为博士生培养后可在第三学期，以直攻博方式进入贯通式培养体系的学生，自第三学年起至第四学年末完成中期考核）进行。中期考核由院系组织，应以学术活动的形式公开进行，考核小组由5-7名本学科或相关学科博士生导师组成。中期考核内容包括：学科基础综合考试（含学科基础文献集阅读）、业务表现与论文工作进展、论文选题与学科的匹配度、综合能力等方面。研究生提交由导师签字的课程成绩、课题研究进展报告等书面材料后，方可参加中期考核。中期考核所有评审材料，须在医学部人才培养处审核备案。</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博士研究生应按时参加中期考核，如有特殊情况需延期参加，须本人申请并获得批准后参加补考核，具体时间由医学部人才培养处确定。</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中期考核具体要求参照《西安交通大学关于博士研究生中期考核的若干规定》（西交研〔2014〕25号）执行。</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研究生的开题报告和中期报告中应包含实验安全风险评估的内容。</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9</w:t>
      </w:r>
      <w:r>
        <w:rPr>
          <w:rFonts w:hint="eastAsia" w:ascii="Times New Roman" w:hAnsi="Times New Roman" w:eastAsia="宋体" w:cs="Times New Roman"/>
          <w:b/>
          <w:bCs/>
          <w:szCs w:val="21"/>
        </w:rPr>
        <w:t>．</w:t>
      </w:r>
      <w:r>
        <w:rPr>
          <w:rFonts w:ascii="Times New Roman" w:hAnsi="Times New Roman" w:eastAsia="宋体" w:cs="Times New Roman"/>
          <w:b/>
          <w:bCs/>
          <w:szCs w:val="21"/>
        </w:rPr>
        <w:t>最终学术报告（预答辩）</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硕博贯通研究生完成学位论文后，须在医学部或医学部各院（系）范围内进行公开预答辩，报告自己的研究成果。预答辩专家组由5名本学科或相关学科专家组成，其中至少3人为博士生导师。各学院（系）邀请本学院督导或相关学科专家列席旁听。在预答辩中，须严格审查论文选题的前沿性、理论及现实意义，学位论文是否有独立见解，学位论文的工作量，研究工作的系统性、完整性，论文选题与学科的匹配度等。</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对预答辩中提出的问题，研究生应认真修改与补充，填写修改说明表，经导师签字同意并报预答辩专家组组长签字同意后，方可进入论文评阅、答辩环节。对于未获得通过的学位论文，博士研究生应修改后重新进行预答辩。</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对于未获得通过和</w:t>
      </w:r>
      <w:r>
        <w:rPr>
          <w:rFonts w:cs="Times New Roman" w:asciiTheme="minorEastAsia" w:hAnsiTheme="minorEastAsia"/>
          <w:szCs w:val="21"/>
        </w:rPr>
        <w:t>问题较多的学位论文要经过研究生修改后重新组织预答辩。</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预答辩具体参照《西安交通大学学位授予工作暂行办法》（西交研〔2003〕14号）执行。</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cs="Times New Roman" w:asciiTheme="minorEastAsia" w:hAnsiTheme="minorEastAsia"/>
          <w:b/>
          <w:bCs/>
          <w:szCs w:val="21"/>
        </w:rPr>
      </w:pPr>
      <w:r>
        <w:rPr>
          <w:rFonts w:cs="Times New Roman" w:asciiTheme="minorEastAsia" w:hAnsiTheme="minorEastAsia"/>
          <w:b/>
          <w:bCs/>
          <w:szCs w:val="21"/>
        </w:rPr>
        <w:t>10</w:t>
      </w:r>
      <w:r>
        <w:rPr>
          <w:rFonts w:hint="eastAsia" w:cs="Times New Roman" w:asciiTheme="minorEastAsia" w:hAnsiTheme="minorEastAsia"/>
          <w:b/>
          <w:bCs/>
          <w:szCs w:val="21"/>
        </w:rPr>
        <w:t>．</w:t>
      </w:r>
      <w:r>
        <w:rPr>
          <w:rFonts w:cs="Times New Roman" w:asciiTheme="minorEastAsia" w:hAnsiTheme="minorEastAsia"/>
          <w:b/>
          <w:bCs/>
          <w:szCs w:val="21"/>
        </w:rPr>
        <w:t>体育、美育、劳动教育</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研究生依据当年的体育、美育、劳动教育研修指南，结合个人兴趣爱好和培养计划安排，制定个人体育、美育、劳动教育环节研修计划并开展研修，由体育、美育、劳动教育牵头单位对环节是否“通过”给予认定。</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11</w:t>
      </w:r>
      <w:r>
        <w:rPr>
          <w:rFonts w:hint="eastAsia" w:ascii="Times New Roman" w:hAnsi="Times New Roman" w:eastAsia="宋体" w:cs="Times New Roman"/>
          <w:b/>
          <w:bCs/>
          <w:szCs w:val="21"/>
        </w:rPr>
        <w:t>．</w:t>
      </w:r>
      <w:r>
        <w:rPr>
          <w:rFonts w:ascii="Times New Roman" w:hAnsi="Times New Roman" w:eastAsia="宋体" w:cs="Times New Roman"/>
          <w:b/>
          <w:bCs/>
          <w:szCs w:val="21"/>
        </w:rPr>
        <w:t>学术论文</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硕博贯通研究生</w:t>
      </w:r>
      <w:r>
        <w:rPr>
          <w:rFonts w:cs="Times New Roman" w:asciiTheme="minorEastAsia" w:hAnsiTheme="minorEastAsia"/>
          <w:szCs w:val="21"/>
        </w:rPr>
        <w:t>应在导师的指导下，根据研究方向确定研究课题，课题需结合国民经济发展需求和学科发展趋势，具有前瞻性和理论价值，达到本学科前沿，博士研究生应独立完成具有一定学术水平和价值的学位论文。论文答辩</w:t>
      </w:r>
      <w:r>
        <w:rPr>
          <w:rFonts w:hint="eastAsia" w:cs="Times New Roman" w:asciiTheme="minorEastAsia" w:hAnsiTheme="minorEastAsia"/>
          <w:szCs w:val="21"/>
        </w:rPr>
        <w:t>具体参照</w:t>
      </w:r>
      <w:r>
        <w:rPr>
          <w:rFonts w:cs="Times New Roman" w:asciiTheme="minorEastAsia" w:hAnsiTheme="minorEastAsia"/>
          <w:szCs w:val="21"/>
        </w:rPr>
        <w:t>《西安交通大学学位授予工作暂行办法》（西交研〔2003〕14号）执行。</w:t>
      </w:r>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r>
        <w:rPr>
          <w:rFonts w:hint="eastAsia" w:ascii="黑体" w:hAnsi="黑体" w:eastAsia="黑体"/>
          <w:sz w:val="24"/>
          <w:szCs w:val="24"/>
        </w:rPr>
        <w:t>七</w:t>
      </w:r>
      <w:r>
        <w:rPr>
          <w:rFonts w:ascii="黑体" w:hAnsi="黑体" w:eastAsia="黑体"/>
          <w:sz w:val="24"/>
          <w:szCs w:val="24"/>
        </w:rPr>
        <w:t>、分流机制</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bCs/>
          <w:szCs w:val="21"/>
        </w:rPr>
      </w:pPr>
      <w:r>
        <w:rPr>
          <w:rFonts w:cs="Times New Roman" w:asciiTheme="minorEastAsia" w:hAnsiTheme="minorEastAsia"/>
          <w:bCs/>
          <w:szCs w:val="21"/>
        </w:rPr>
        <w:t>硕博连读生未通过博士资格考核或审核的，按硕士研究生进行培养，最长年限为三学年；直博生未通过博士中期考核或因其他原因需停止按博士培养而转回硕士培养的，需在半年之内完成硕士培养要求，申请硕士毕业和学位。</w:t>
      </w:r>
    </w:p>
    <w:p>
      <w:pPr>
        <w:keepNext w:val="0"/>
        <w:keepLines w:val="0"/>
        <w:pageBreakBefore w:val="0"/>
        <w:widowControl w:val="0"/>
        <w:kinsoku/>
        <w:wordWrap/>
        <w:overflowPunct/>
        <w:topLinePunct w:val="0"/>
        <w:autoSpaceDE/>
        <w:autoSpaceDN/>
        <w:bidi w:val="0"/>
        <w:spacing w:before="120" w:beforeLines="50" w:after="120" w:afterLines="50" w:line="300" w:lineRule="auto"/>
        <w:ind w:firstLine="420" w:firstLineChars="200"/>
        <w:textAlignment w:val="auto"/>
        <w:rPr>
          <w:rFonts w:cs="Times New Roman" w:asciiTheme="minorEastAsia" w:hAnsiTheme="minorEastAsia"/>
          <w:szCs w:val="21"/>
        </w:rPr>
      </w:pPr>
      <w:r>
        <w:rPr>
          <w:rFonts w:cs="Times New Roman" w:asciiTheme="minorEastAsia" w:hAnsiTheme="minorEastAsia"/>
          <w:bCs/>
          <w:szCs w:val="21"/>
        </w:rPr>
        <w:t>硕博贯通研究生申请硕士学位的</w:t>
      </w:r>
      <w:r>
        <w:rPr>
          <w:rFonts w:hint="eastAsia" w:cs="Times New Roman" w:asciiTheme="minorEastAsia" w:hAnsiTheme="minorEastAsia"/>
          <w:bCs/>
          <w:szCs w:val="21"/>
        </w:rPr>
        <w:t>需修满29学分</w:t>
      </w:r>
      <w:r>
        <w:rPr>
          <w:rFonts w:cs="Times New Roman" w:asciiTheme="minorEastAsia" w:hAnsiTheme="minorEastAsia"/>
          <w:bCs/>
          <w:szCs w:val="21"/>
        </w:rPr>
        <w:t>。</w:t>
      </w:r>
      <w:r>
        <w:rPr>
          <w:rFonts w:hint="eastAsia" w:cs="Times New Roman" w:asciiTheme="minorEastAsia" w:hAnsiTheme="minorEastAsia"/>
          <w:bCs/>
          <w:szCs w:val="21"/>
        </w:rPr>
        <w:t>其中课程学习23学分</w:t>
      </w:r>
      <w:r>
        <w:rPr>
          <w:rFonts w:cs="Times New Roman" w:asciiTheme="minorEastAsia" w:hAnsiTheme="minorEastAsia"/>
          <w:bCs/>
          <w:szCs w:val="21"/>
        </w:rPr>
        <w:t>、必修环节</w:t>
      </w:r>
      <w:r>
        <w:rPr>
          <w:rFonts w:hint="eastAsia" w:cs="Times New Roman" w:asciiTheme="minorEastAsia" w:hAnsiTheme="minorEastAsia"/>
          <w:bCs/>
          <w:szCs w:val="21"/>
        </w:rPr>
        <w:t>6学分。</w:t>
      </w:r>
    </w:p>
    <w:p>
      <w:pPr>
        <w:spacing w:before="360" w:after="360" w:line="286" w:lineRule="auto"/>
        <w:jc w:val="center"/>
        <w:rPr>
          <w:rFonts w:ascii="楷体_GB2312" w:hAnsi="Times New Roman" w:eastAsia="楷体_GB2312" w:cs="Times New Roman"/>
          <w:b/>
          <w:bCs/>
          <w:sz w:val="28"/>
          <w:szCs w:val="28"/>
        </w:rPr>
      </w:pPr>
      <w:bookmarkStart w:id="396" w:name="_Toc500665686"/>
      <w:bookmarkStart w:id="397" w:name="_Toc508811186"/>
      <w:bookmarkStart w:id="398" w:name="_Toc500668313"/>
      <w:bookmarkStart w:id="399" w:name="_Toc508119596"/>
      <w:bookmarkStart w:id="400" w:name="_Toc500683450"/>
      <w:bookmarkStart w:id="401" w:name="_Toc508210283"/>
      <w:r>
        <w:rPr>
          <w:rFonts w:hint="eastAsia" w:ascii="楷体_GB2312" w:hAnsi="Times New Roman" w:eastAsia="楷体_GB2312" w:cs="Times New Roman"/>
          <w:b/>
          <w:bCs/>
          <w:sz w:val="28"/>
          <w:szCs w:val="28"/>
        </w:rPr>
        <w:t>★</w:t>
      </w:r>
      <w:r>
        <w:rPr>
          <w:rFonts w:ascii="楷体_GB2312" w:hAnsi="Times New Roman" w:eastAsia="楷体_GB2312" w:cs="Times New Roman"/>
          <w:b/>
          <w:bCs/>
          <w:sz w:val="28"/>
          <w:szCs w:val="28"/>
        </w:rPr>
        <w:t>临床医学（1002）硕士博士贯通式</w:t>
      </w:r>
      <w:r>
        <w:rPr>
          <w:rFonts w:hint="eastAsia" w:ascii="楷体_GB2312" w:hAnsi="Times New Roman" w:eastAsia="楷体_GB2312" w:cs="Times New Roman"/>
          <w:b/>
          <w:bCs/>
          <w:sz w:val="28"/>
          <w:szCs w:val="28"/>
        </w:rPr>
        <w:t>研究生</w:t>
      </w:r>
      <w:r>
        <w:rPr>
          <w:rFonts w:ascii="楷体_GB2312" w:hAnsi="Times New Roman" w:eastAsia="楷体_GB2312" w:cs="Times New Roman"/>
          <w:b/>
          <w:bCs/>
          <w:sz w:val="28"/>
          <w:szCs w:val="28"/>
        </w:rPr>
        <w:t>培养方案</w:t>
      </w:r>
      <w:bookmarkEnd w:id="396"/>
      <w:bookmarkEnd w:id="397"/>
      <w:bookmarkEnd w:id="398"/>
      <w:bookmarkEnd w:id="399"/>
      <w:bookmarkEnd w:id="400"/>
      <w:bookmarkEnd w:id="401"/>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bookmarkStart w:id="402" w:name="_Toc520822665"/>
      <w:bookmarkStart w:id="403" w:name="_Toc519846445"/>
      <w:r>
        <w:rPr>
          <w:rFonts w:hint="eastAsia" w:ascii="黑体" w:hAnsi="黑体" w:eastAsia="黑体"/>
          <w:sz w:val="24"/>
          <w:szCs w:val="24"/>
        </w:rPr>
        <w:t>一、</w:t>
      </w:r>
      <w:r>
        <w:rPr>
          <w:rFonts w:ascii="黑体" w:hAnsi="黑体" w:eastAsia="黑体"/>
          <w:sz w:val="24"/>
          <w:szCs w:val="24"/>
        </w:rPr>
        <w:t>培养目标</w:t>
      </w:r>
      <w:bookmarkEnd w:id="402"/>
      <w:bookmarkEnd w:id="403"/>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cs="Times New Roman"/>
          <w:szCs w:val="21"/>
        </w:rPr>
      </w:pPr>
      <w:r>
        <w:rPr>
          <w:rFonts w:hint="eastAsia" w:ascii="Times New Roman" w:hAnsi="Times New Roman" w:cs="Times New Roman"/>
          <w:szCs w:val="21"/>
        </w:rPr>
        <w:t>秉承“扎根西部、服务国家、区域引领、世界一流”的办学定位，临床医学</w:t>
      </w:r>
      <w:r>
        <w:rPr>
          <w:rFonts w:ascii="Times New Roman" w:hAnsi="Times New Roman" w:cs="Times New Roman"/>
          <w:szCs w:val="21"/>
        </w:rPr>
        <w:t>硕博贯通式</w:t>
      </w:r>
      <w:r>
        <w:rPr>
          <w:rFonts w:hint="eastAsia" w:ascii="Times New Roman" w:hAnsi="Times New Roman" w:cs="Times New Roman"/>
          <w:szCs w:val="21"/>
        </w:rPr>
        <w:t>研究生培养目标为：以科研创新能力培养为主，坚持德智体美劳全面发展，培养造就具有强烈社会责任感的临床医学研究领域德才兼备的高层次创新型人才。具体要求是：</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cs="Times New Roman"/>
          <w:szCs w:val="21"/>
        </w:rPr>
      </w:pPr>
      <w:r>
        <w:rPr>
          <w:rFonts w:hint="eastAsia" w:ascii="Times New Roman" w:hAnsi="Times New Roman" w:cs="Times New Roman"/>
          <w:szCs w:val="21"/>
        </w:rPr>
        <w:t>1. 掌握马克思主义基本原理，学习和贯彻习近平新时代中国特色社会主义思想和系列重要讲话精神，坚定道路自信、理论自信、制度自信、文化自信。热爱祖国，遵纪守法，品德优良，治学严谨，学风端正，有献身于临床医学科学研究的强烈事业心和创新精神。具有健康的体魄和良好的心理素质，愿积极为祖国医学事业发展贡献自己的才智。 </w:t>
      </w:r>
    </w:p>
    <w:p>
      <w:pPr>
        <w:keepNext w:val="0"/>
        <w:keepLines w:val="0"/>
        <w:pageBreakBefore w:val="0"/>
        <w:widowControl w:val="0"/>
        <w:kinsoku/>
        <w:wordWrap/>
        <w:overflowPunct/>
        <w:topLinePunct w:val="0"/>
        <w:autoSpaceDE/>
        <w:autoSpaceDN/>
        <w:bidi w:val="0"/>
        <w:spacing w:line="300" w:lineRule="auto"/>
        <w:ind w:firstLine="435"/>
        <w:textAlignment w:val="auto"/>
        <w:rPr>
          <w:rFonts w:cs="Times New Roman" w:asciiTheme="minorEastAsia" w:hAnsiTheme="minorEastAsia"/>
          <w:szCs w:val="21"/>
        </w:rPr>
      </w:pPr>
      <w:r>
        <w:rPr>
          <w:rFonts w:hint="eastAsia" w:ascii="Times New Roman" w:hAnsi="Times New Roman" w:cs="Times New Roman"/>
          <w:szCs w:val="21"/>
        </w:rPr>
        <w:t>2. 具有扎实的临床医学基础理论，掌握本学科的专业基本知识和基本技能。能熟练应用各种临床医学数据库，掌握医学文献检索和管理。能熟练地阅读本专业的外文资料，具有一定的外文写作和口语交际能力。</w:t>
      </w:r>
      <w:r>
        <w:rPr>
          <w:rFonts w:cs="Times New Roman" w:asciiTheme="minorEastAsia" w:hAnsiTheme="minorEastAsia"/>
          <w:szCs w:val="21"/>
        </w:rPr>
        <w:t>具有一定</w:t>
      </w:r>
      <w:r>
        <w:rPr>
          <w:rFonts w:hint="eastAsia" w:cs="Times New Roman" w:asciiTheme="minorEastAsia" w:hAnsiTheme="minorEastAsia"/>
          <w:szCs w:val="21"/>
        </w:rPr>
        <w:t>的人文社会科学</w:t>
      </w:r>
      <w:r>
        <w:rPr>
          <w:rFonts w:cs="Times New Roman" w:asciiTheme="minorEastAsia" w:hAnsiTheme="minorEastAsia"/>
          <w:szCs w:val="21"/>
        </w:rPr>
        <w:t>基本知识。</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cs="Times New Roman"/>
          <w:szCs w:val="21"/>
        </w:rPr>
      </w:pPr>
      <w:r>
        <w:rPr>
          <w:rFonts w:hint="eastAsia" w:ascii="Times New Roman" w:hAnsi="Times New Roman" w:cs="Times New Roman"/>
          <w:szCs w:val="21"/>
        </w:rPr>
        <w:t>3.具备主动获取知识的意识和能力，能综合运用临床理论知识和研究手段，开展科学研究。</w:t>
      </w:r>
      <w:r>
        <w:rPr>
          <w:rFonts w:cs="Times New Roman" w:asciiTheme="minorEastAsia" w:hAnsiTheme="minorEastAsia"/>
          <w:szCs w:val="21"/>
        </w:rPr>
        <w:t>具有</w:t>
      </w:r>
      <w:r>
        <w:rPr>
          <w:rFonts w:hint="eastAsia" w:cs="Times New Roman" w:asciiTheme="minorEastAsia" w:hAnsiTheme="minorEastAsia"/>
          <w:szCs w:val="21"/>
        </w:rPr>
        <w:t>科学</w:t>
      </w:r>
      <w:r>
        <w:rPr>
          <w:rFonts w:cs="Times New Roman" w:asciiTheme="minorEastAsia" w:hAnsiTheme="minorEastAsia"/>
          <w:szCs w:val="21"/>
        </w:rPr>
        <w:t>逻辑思维</w:t>
      </w:r>
      <w:r>
        <w:rPr>
          <w:rFonts w:hint="eastAsia" w:cs="Times New Roman" w:asciiTheme="minorEastAsia" w:hAnsiTheme="minorEastAsia"/>
          <w:szCs w:val="21"/>
        </w:rPr>
        <w:t>、批判思维和较高</w:t>
      </w:r>
      <w:r>
        <w:rPr>
          <w:rFonts w:cs="Times New Roman" w:asciiTheme="minorEastAsia" w:hAnsiTheme="minorEastAsia"/>
          <w:szCs w:val="21"/>
        </w:rPr>
        <w:t>的创新能力，</w:t>
      </w:r>
      <w:r>
        <w:rPr>
          <w:rFonts w:hint="eastAsia" w:ascii="Times New Roman" w:hAnsi="Times New Roman" w:cs="Times New Roman"/>
          <w:szCs w:val="21"/>
        </w:rPr>
        <w:t>能够独立从事临床医学及相关领域科学研究工作。具有较强的语言交流和文字表达能力。</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cs="Times New Roman"/>
          <w:szCs w:val="21"/>
        </w:rPr>
      </w:pPr>
      <w:r>
        <w:rPr>
          <w:rFonts w:hint="eastAsia" w:ascii="Times New Roman" w:hAnsi="Times New Roman" w:cs="Times New Roman"/>
          <w:szCs w:val="21"/>
        </w:rPr>
        <w:t>4. 具有强烈的社会责任感和良好的团队合作精神。具备求实严谨、锐意创新的精神，具备医学人文素养，能够运用其他学科的前沿知识和先进技术来开展交叉融合性的临床科学研究。具有较强管理沟通能力和国际化视野，能够有效利用各种资源提高工作效率。</w:t>
      </w:r>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bookmarkStart w:id="404" w:name="_Toc520822666"/>
      <w:bookmarkStart w:id="405" w:name="_Toc519846446"/>
      <w:r>
        <w:rPr>
          <w:rFonts w:ascii="黑体" w:hAnsi="黑体" w:eastAsia="黑体"/>
          <w:sz w:val="24"/>
          <w:szCs w:val="24"/>
        </w:rPr>
        <w:t>二、研究方向</w:t>
      </w:r>
      <w:bookmarkEnd w:id="404"/>
      <w:bookmarkEnd w:id="405"/>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1．内科学</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11．眼科学</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2．儿科学</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12．耳鼻咽喉科学</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3．老年医学</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13．肿瘤学</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4．神经病学</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14</w:t>
      </w:r>
      <w:r>
        <w:rPr>
          <w:rFonts w:hint="eastAsia" w:ascii="Times New Roman" w:hAnsi="Times New Roman" w:eastAsia="宋体" w:cs="Times New Roman"/>
          <w:szCs w:val="21"/>
        </w:rPr>
        <w:t>．</w:t>
      </w:r>
      <w:r>
        <w:rPr>
          <w:rFonts w:ascii="Times New Roman" w:hAnsi="Times New Roman" w:eastAsia="宋体" w:cs="Times New Roman"/>
          <w:szCs w:val="21"/>
        </w:rPr>
        <w:t>康复医学与理疗学</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5．精神病与精神卫生学</w:t>
      </w:r>
      <w:r>
        <w:rPr>
          <w:rFonts w:hint="eastAsia" w:ascii="Times New Roman" w:hAnsi="Times New Roman" w:eastAsia="宋体" w:cs="Times New Roman"/>
          <w:szCs w:val="21"/>
        </w:rPr>
        <w:t xml:space="preserve">                    </w:t>
      </w:r>
      <w:r>
        <w:rPr>
          <w:rFonts w:ascii="Times New Roman" w:hAnsi="Times New Roman" w:eastAsia="宋体" w:cs="Times New Roman"/>
          <w:szCs w:val="21"/>
        </w:rPr>
        <w:t>15</w:t>
      </w:r>
      <w:r>
        <w:rPr>
          <w:rFonts w:hint="eastAsia" w:ascii="Times New Roman" w:hAnsi="Times New Roman" w:eastAsia="宋体" w:cs="Times New Roman"/>
          <w:szCs w:val="21"/>
        </w:rPr>
        <w:t>．</w:t>
      </w:r>
      <w:r>
        <w:rPr>
          <w:rFonts w:ascii="Times New Roman" w:hAnsi="Times New Roman" w:eastAsia="宋体" w:cs="Times New Roman"/>
          <w:szCs w:val="21"/>
        </w:rPr>
        <w:t>运动医学</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6．皮肤病与性病学</w:t>
      </w:r>
      <w:r>
        <w:rPr>
          <w:rFonts w:hint="eastAsia" w:ascii="Times New Roman" w:hAnsi="Times New Roman" w:eastAsia="宋体" w:cs="Times New Roman"/>
          <w:szCs w:val="21"/>
        </w:rPr>
        <w:t xml:space="preserve">                        </w:t>
      </w:r>
      <w:r>
        <w:rPr>
          <w:rFonts w:ascii="Times New Roman" w:hAnsi="Times New Roman" w:eastAsia="宋体" w:cs="Times New Roman"/>
          <w:szCs w:val="21"/>
        </w:rPr>
        <w:t>16</w:t>
      </w:r>
      <w:r>
        <w:rPr>
          <w:rFonts w:hint="eastAsia" w:ascii="Times New Roman" w:hAnsi="Times New Roman" w:eastAsia="宋体" w:cs="Times New Roman"/>
          <w:szCs w:val="21"/>
        </w:rPr>
        <w:t>．</w:t>
      </w:r>
      <w:r>
        <w:rPr>
          <w:rFonts w:ascii="Times New Roman" w:hAnsi="Times New Roman" w:eastAsia="宋体" w:cs="Times New Roman"/>
          <w:szCs w:val="21"/>
        </w:rPr>
        <w:t>麻醉学</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7．影像医学与核医学</w:t>
      </w:r>
      <w:r>
        <w:rPr>
          <w:rFonts w:hint="eastAsia" w:ascii="Times New Roman" w:hAnsi="Times New Roman" w:eastAsia="宋体" w:cs="Times New Roman"/>
          <w:szCs w:val="21"/>
        </w:rPr>
        <w:t xml:space="preserve">                      </w:t>
      </w:r>
      <w:r>
        <w:rPr>
          <w:rFonts w:ascii="Times New Roman" w:hAnsi="Times New Roman" w:eastAsia="宋体" w:cs="Times New Roman"/>
          <w:szCs w:val="21"/>
        </w:rPr>
        <w:t>17</w:t>
      </w:r>
      <w:r>
        <w:rPr>
          <w:rFonts w:hint="eastAsia" w:ascii="Times New Roman" w:hAnsi="Times New Roman" w:eastAsia="宋体" w:cs="Times New Roman"/>
          <w:szCs w:val="21"/>
        </w:rPr>
        <w:t>．</w:t>
      </w:r>
      <w:r>
        <w:rPr>
          <w:rFonts w:ascii="Times New Roman" w:hAnsi="Times New Roman" w:eastAsia="宋体" w:cs="Times New Roman"/>
          <w:szCs w:val="21"/>
        </w:rPr>
        <w:t>急诊医学</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8．临床检验诊断学</w:t>
      </w:r>
      <w:r>
        <w:rPr>
          <w:rFonts w:hint="eastAsia" w:ascii="Times New Roman" w:hAnsi="Times New Roman" w:eastAsia="宋体" w:cs="Times New Roman"/>
          <w:szCs w:val="21"/>
        </w:rPr>
        <w:t xml:space="preserve">                        18．临床护理学</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9．外科学</w:t>
      </w:r>
      <w:r>
        <w:rPr>
          <w:rFonts w:hint="eastAsia" w:ascii="Times New Roman" w:hAnsi="Times New Roman" w:eastAsia="宋体" w:cs="Times New Roman"/>
          <w:szCs w:val="21"/>
        </w:rPr>
        <w:t xml:space="preserve">                                1</w:t>
      </w:r>
      <w:r>
        <w:rPr>
          <w:rFonts w:ascii="Times New Roman" w:hAnsi="Times New Roman" w:eastAsia="宋体" w:cs="Times New Roman"/>
          <w:szCs w:val="21"/>
        </w:rPr>
        <w:t>9</w:t>
      </w:r>
      <w:r>
        <w:rPr>
          <w:rFonts w:hint="eastAsia" w:ascii="Times New Roman" w:hAnsi="Times New Roman" w:eastAsia="宋体" w:cs="Times New Roman"/>
          <w:szCs w:val="21"/>
        </w:rPr>
        <w:t>．医工交叉</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10．妇产科学</w:t>
      </w:r>
      <w:r>
        <w:rPr>
          <w:rFonts w:hint="eastAsia" w:ascii="Times New Roman" w:hAnsi="Times New Roman" w:eastAsia="宋体" w:cs="Times New Roman"/>
          <w:szCs w:val="21"/>
        </w:rPr>
        <w:t xml:space="preserve">                            </w:t>
      </w:r>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bookmarkStart w:id="406" w:name="_Toc520822667"/>
      <w:bookmarkStart w:id="407" w:name="_Toc519846447"/>
      <w:r>
        <w:rPr>
          <w:rFonts w:ascii="黑体" w:hAnsi="黑体" w:eastAsia="黑体"/>
          <w:sz w:val="24"/>
          <w:szCs w:val="24"/>
        </w:rPr>
        <w:t>三、学习年限</w:t>
      </w:r>
      <w:bookmarkEnd w:id="406"/>
      <w:bookmarkEnd w:id="407"/>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kern w:val="0"/>
          <w:szCs w:val="21"/>
        </w:rPr>
      </w:pPr>
      <w:r>
        <w:rPr>
          <w:rFonts w:cs="Times New Roman" w:asciiTheme="minorEastAsia" w:hAnsiTheme="minorEastAsia"/>
          <w:szCs w:val="21"/>
        </w:rPr>
        <w:t>以硕博连读方式进入贯通式培养体系的学生（以下简称</w:t>
      </w:r>
      <w:r>
        <w:rPr>
          <w:rFonts w:hint="eastAsia" w:cs="Times New Roman" w:asciiTheme="minorEastAsia" w:hAnsiTheme="minorEastAsia"/>
          <w:szCs w:val="21"/>
        </w:rPr>
        <w:t>“</w:t>
      </w:r>
      <w:r>
        <w:rPr>
          <w:rFonts w:cs="Times New Roman" w:asciiTheme="minorEastAsia" w:hAnsiTheme="minorEastAsia"/>
          <w:szCs w:val="21"/>
        </w:rPr>
        <w:t>硕博连读生</w:t>
      </w:r>
      <w:r>
        <w:rPr>
          <w:rFonts w:hint="eastAsia" w:cs="Times New Roman" w:asciiTheme="minorEastAsia" w:hAnsiTheme="minorEastAsia"/>
          <w:szCs w:val="21"/>
        </w:rPr>
        <w:t>”</w:t>
      </w:r>
      <w:r>
        <w:rPr>
          <w:rFonts w:cs="Times New Roman" w:asciiTheme="minorEastAsia" w:hAnsiTheme="minorEastAsia"/>
          <w:szCs w:val="21"/>
        </w:rPr>
        <w:t>），在博士培养阶段的学习年限为</w:t>
      </w:r>
      <w:r>
        <w:rPr>
          <w:rFonts w:ascii="Times New Roman" w:hAnsi="Times New Roman" w:cs="Times New Roman"/>
          <w:szCs w:val="21"/>
        </w:rPr>
        <w:t>3-5</w:t>
      </w:r>
      <w:r>
        <w:rPr>
          <w:rFonts w:cs="Times New Roman" w:asciiTheme="minorEastAsia" w:hAnsiTheme="minorEastAsia"/>
          <w:szCs w:val="21"/>
        </w:rPr>
        <w:t>年；以直攻博方式进入贯通式培养体系的学生（以下简称</w:t>
      </w:r>
      <w:r>
        <w:rPr>
          <w:rFonts w:hint="eastAsia" w:cs="Times New Roman" w:asciiTheme="minorEastAsia" w:hAnsiTheme="minorEastAsia"/>
          <w:szCs w:val="21"/>
        </w:rPr>
        <w:t>“</w:t>
      </w:r>
      <w:r>
        <w:rPr>
          <w:rFonts w:cs="Times New Roman" w:asciiTheme="minorEastAsia" w:hAnsiTheme="minorEastAsia"/>
          <w:szCs w:val="21"/>
        </w:rPr>
        <w:t>直博生</w:t>
      </w:r>
      <w:r>
        <w:rPr>
          <w:rFonts w:hint="eastAsia" w:cs="Times New Roman" w:asciiTheme="minorEastAsia" w:hAnsiTheme="minorEastAsia"/>
          <w:szCs w:val="21"/>
        </w:rPr>
        <w:t>”</w:t>
      </w:r>
      <w:r>
        <w:rPr>
          <w:rFonts w:cs="Times New Roman" w:asciiTheme="minorEastAsia" w:hAnsiTheme="minorEastAsia"/>
          <w:szCs w:val="21"/>
        </w:rPr>
        <w:t>），学习年限为</w:t>
      </w:r>
      <w:r>
        <w:rPr>
          <w:rFonts w:ascii="Times New Roman" w:hAnsi="Times New Roman" w:cs="Times New Roman"/>
          <w:szCs w:val="21"/>
        </w:rPr>
        <w:t>4-6</w:t>
      </w:r>
      <w:r>
        <w:rPr>
          <w:rFonts w:cs="Times New Roman" w:asciiTheme="minorEastAsia" w:hAnsiTheme="minorEastAsia"/>
          <w:szCs w:val="21"/>
        </w:rPr>
        <w:t>年</w:t>
      </w:r>
      <w:r>
        <w:rPr>
          <w:rFonts w:hint="eastAsia" w:cs="Times New Roman" w:asciiTheme="minorEastAsia" w:hAnsiTheme="minorEastAsia"/>
          <w:szCs w:val="21"/>
        </w:rPr>
        <w:t>。</w:t>
      </w:r>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bookmarkStart w:id="408" w:name="_Toc519846448"/>
      <w:bookmarkStart w:id="409" w:name="_Toc520822668"/>
      <w:r>
        <w:rPr>
          <w:rFonts w:ascii="黑体" w:hAnsi="黑体" w:eastAsia="黑体"/>
          <w:sz w:val="24"/>
          <w:szCs w:val="24"/>
        </w:rPr>
        <w:t>四、培养方式</w:t>
      </w:r>
      <w:bookmarkEnd w:id="408"/>
      <w:bookmarkEnd w:id="409"/>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以立德树人为根本任务，实现硕博贯通的培养方式，具体的培养方式是：</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1</w:t>
      </w:r>
      <w:r>
        <w:rPr>
          <w:rFonts w:ascii="Times New Roman" w:hAnsi="Times New Roman" w:eastAsia="宋体" w:cs="Times New Roman"/>
          <w:szCs w:val="21"/>
        </w:rPr>
        <w:t>．</w:t>
      </w:r>
      <w:r>
        <w:rPr>
          <w:rFonts w:cs="Times New Roman" w:asciiTheme="minorEastAsia" w:hAnsiTheme="minorEastAsia"/>
          <w:szCs w:val="21"/>
        </w:rPr>
        <w:t>导师小组联合指导，导师负责制。各系、中心应成立以博士生导师为主5人指导小组及课题小组的有关成员，按照硕博连读生培养计划的要求，制订培养计划。共同协助搞好贯通式研究生的培养工作。</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2</w:t>
      </w:r>
      <w:r>
        <w:rPr>
          <w:rFonts w:ascii="Times New Roman" w:hAnsi="Times New Roman" w:eastAsia="宋体" w:cs="Times New Roman"/>
          <w:szCs w:val="21"/>
        </w:rPr>
        <w:t>．</w:t>
      </w:r>
      <w:r>
        <w:rPr>
          <w:rFonts w:cs="Times New Roman" w:asciiTheme="minorEastAsia" w:hAnsiTheme="minorEastAsia"/>
          <w:szCs w:val="21"/>
        </w:rPr>
        <w:t>课程学习要满足需要的学分；课程包括本专业的基础和前沿课程和开展自己研究工作的必要知识和技术，可采用上课、学术报告、国际交流、讨论等方式。</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3</w:t>
      </w:r>
      <w:r>
        <w:rPr>
          <w:rFonts w:ascii="Times New Roman" w:hAnsi="Times New Roman" w:eastAsia="宋体" w:cs="Times New Roman"/>
          <w:szCs w:val="21"/>
        </w:rPr>
        <w:t>．</w:t>
      </w:r>
      <w:r>
        <w:rPr>
          <w:rFonts w:cs="Times New Roman" w:asciiTheme="minorEastAsia" w:hAnsiTheme="minorEastAsia"/>
          <w:szCs w:val="21"/>
        </w:rPr>
        <w:t>积极鼓励学生参加会议、讲座等，展丰富多彩的科研活动，营造浓郁的科研氛围，提升学生的科研兴趣，增强学生解决重大科学问题的动力。</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4</w:t>
      </w:r>
      <w:r>
        <w:rPr>
          <w:rFonts w:ascii="Times New Roman" w:hAnsi="Times New Roman" w:eastAsia="宋体" w:cs="Times New Roman"/>
          <w:szCs w:val="21"/>
        </w:rPr>
        <w:t>．</w:t>
      </w:r>
      <w:r>
        <w:rPr>
          <w:rFonts w:cs="Times New Roman" w:asciiTheme="minorEastAsia" w:hAnsiTheme="minorEastAsia"/>
          <w:szCs w:val="21"/>
        </w:rPr>
        <w:t>通过课题组、院系的科研汇报会、文献阅读会、小组讨论会，个别指导等形式，逐步强化学生的科研创新能力。</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5</w:t>
      </w:r>
      <w:r>
        <w:rPr>
          <w:rFonts w:ascii="Times New Roman" w:hAnsi="Times New Roman" w:eastAsia="宋体" w:cs="Times New Roman"/>
          <w:szCs w:val="21"/>
        </w:rPr>
        <w:t>．</w:t>
      </w:r>
      <w:r>
        <w:rPr>
          <w:rFonts w:cs="Times New Roman" w:asciiTheme="minorEastAsia" w:hAnsiTheme="minorEastAsia"/>
          <w:szCs w:val="21"/>
        </w:rPr>
        <w:t>加强培养期间的过程管理，第一学年学习专业基础理论，掌握进行科研所必需的基本技能并写出文献综述。从第二年开始在导师指导下进入课题研究和学位论文准备阶段。硕博连读生，硕士阶段第二学年内完成博士资格考核，在进入博士阶段第二学年起至第三学年末完成博士中期考核；直博生，第二学年内完成博士资格审核，自第三学年起至第四学年末完成博士中期考核</w:t>
      </w:r>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bookmarkStart w:id="410" w:name="_Toc519846449"/>
      <w:bookmarkStart w:id="411" w:name="_Toc520822669"/>
      <w:r>
        <w:rPr>
          <w:rFonts w:ascii="黑体" w:hAnsi="黑体" w:eastAsia="黑体"/>
          <w:sz w:val="24"/>
          <w:szCs w:val="24"/>
        </w:rPr>
        <w:t>五、课程学习及学分设置</w:t>
      </w:r>
      <w:bookmarkEnd w:id="410"/>
      <w:bookmarkEnd w:id="411"/>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本学科学术型硕博贯通式培养方案共需修满4</w:t>
      </w:r>
      <w:r>
        <w:rPr>
          <w:rFonts w:cs="Times New Roman" w:asciiTheme="minorEastAsia" w:hAnsiTheme="minorEastAsia"/>
          <w:szCs w:val="21"/>
        </w:rPr>
        <w:t>2</w:t>
      </w:r>
      <w:r>
        <w:rPr>
          <w:rFonts w:hint="eastAsia" w:cs="Times New Roman" w:asciiTheme="minorEastAsia" w:hAnsiTheme="minorEastAsia"/>
          <w:szCs w:val="21"/>
        </w:rPr>
        <w:t>学分，其中课程学习25学分，必修环节</w:t>
      </w:r>
      <w:r>
        <w:rPr>
          <w:rFonts w:cs="Times New Roman" w:asciiTheme="minorEastAsia" w:hAnsiTheme="minorEastAsia"/>
          <w:szCs w:val="21"/>
        </w:rPr>
        <w:t>17学分</w:t>
      </w:r>
      <w:r>
        <w:rPr>
          <w:rFonts w:hint="eastAsia" w:cs="Times New Roman" w:asciiTheme="minorEastAsia" w:hAnsiTheme="minorEastAsia"/>
          <w:szCs w:val="21"/>
        </w:rPr>
        <w:t>。</w:t>
      </w:r>
      <w:r>
        <w:rPr>
          <w:rFonts w:cs="Times New Roman" w:asciiTheme="minorEastAsia" w:hAnsiTheme="minorEastAsia"/>
          <w:szCs w:val="21"/>
        </w:rPr>
        <w:t>课程学习包括：学位课1</w:t>
      </w:r>
      <w:r>
        <w:rPr>
          <w:rFonts w:hint="eastAsia" w:cs="Times New Roman" w:asciiTheme="minorEastAsia" w:hAnsiTheme="minorEastAsia"/>
          <w:szCs w:val="21"/>
        </w:rPr>
        <w:t>7</w:t>
      </w:r>
      <w:r>
        <w:rPr>
          <w:rFonts w:cs="Times New Roman" w:asciiTheme="minorEastAsia" w:hAnsiTheme="minorEastAsia"/>
          <w:szCs w:val="21"/>
        </w:rPr>
        <w:t>学分，选修课</w:t>
      </w:r>
      <w:r>
        <w:rPr>
          <w:rFonts w:hint="eastAsia" w:cs="Times New Roman" w:asciiTheme="minorEastAsia" w:hAnsiTheme="minorEastAsia"/>
          <w:szCs w:val="21"/>
        </w:rPr>
        <w:t>8</w:t>
      </w:r>
      <w:r>
        <w:rPr>
          <w:rFonts w:cs="Times New Roman" w:asciiTheme="minorEastAsia" w:hAnsiTheme="minorEastAsia"/>
          <w:szCs w:val="21"/>
        </w:rPr>
        <w:t>学分。学位课包括公共学位课7学分（思政课</w:t>
      </w:r>
      <w:r>
        <w:rPr>
          <w:rFonts w:hint="eastAsia" w:cs="Times New Roman" w:asciiTheme="minorEastAsia" w:hAnsiTheme="minorEastAsia"/>
          <w:szCs w:val="21"/>
        </w:rPr>
        <w:t>5</w:t>
      </w:r>
      <w:r>
        <w:rPr>
          <w:rFonts w:cs="Times New Roman" w:asciiTheme="minorEastAsia" w:hAnsiTheme="minorEastAsia"/>
          <w:szCs w:val="21"/>
        </w:rPr>
        <w:t>学分，外语课2学分），</w:t>
      </w:r>
      <w:r>
        <w:rPr>
          <w:rFonts w:hint="eastAsia" w:cs="Times New Roman" w:asciiTheme="minorEastAsia" w:hAnsiTheme="minorEastAsia"/>
          <w:szCs w:val="21"/>
        </w:rPr>
        <w:t>学科</w:t>
      </w:r>
      <w:r>
        <w:rPr>
          <w:rFonts w:cs="Times New Roman" w:asciiTheme="minorEastAsia" w:hAnsiTheme="minorEastAsia"/>
          <w:szCs w:val="21"/>
        </w:rPr>
        <w:t>学位课10学分</w:t>
      </w:r>
      <w:r>
        <w:rPr>
          <w:rFonts w:hint="eastAsia" w:cs="Times New Roman" w:asciiTheme="minorEastAsia" w:hAnsiTheme="minorEastAsia"/>
          <w:szCs w:val="21"/>
        </w:rPr>
        <w:t>。</w:t>
      </w:r>
    </w:p>
    <w:tbl>
      <w:tblPr>
        <w:tblStyle w:val="37"/>
        <w:tblW w:w="468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406"/>
        <w:gridCol w:w="558"/>
        <w:gridCol w:w="954"/>
        <w:gridCol w:w="1338"/>
        <w:gridCol w:w="2569"/>
        <w:gridCol w:w="623"/>
        <w:gridCol w:w="9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837"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r>
              <w:rPr>
                <w:rFonts w:ascii="Times New Roman" w:hAnsi="Times New Roman" w:cs="Times New Roman"/>
                <w:b/>
                <w:bCs/>
                <w:szCs w:val="21"/>
              </w:rPr>
              <w:t>课程类型</w:t>
            </w: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r>
              <w:rPr>
                <w:rFonts w:ascii="Times New Roman" w:hAnsi="Times New Roman" w:cs="Times New Roman"/>
                <w:b/>
                <w:bCs/>
                <w:szCs w:val="21"/>
              </w:rPr>
              <w:t>序号</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r>
              <w:rPr>
                <w:rFonts w:hint="eastAsia" w:ascii="Times New Roman" w:hAnsi="Times New Roman" w:cs="Times New Roman"/>
                <w:b/>
                <w:bCs/>
                <w:szCs w:val="21"/>
              </w:rPr>
              <w:t>课程编号</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r>
              <w:rPr>
                <w:rFonts w:ascii="Times New Roman" w:hAnsi="Times New Roman" w:cs="Times New Roman"/>
                <w:b/>
                <w:bCs/>
                <w:szCs w:val="21"/>
              </w:rPr>
              <w:t>统一编码</w:t>
            </w:r>
          </w:p>
        </w:tc>
        <w:tc>
          <w:tcPr>
            <w:tcW w:w="152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r>
              <w:rPr>
                <w:rFonts w:ascii="Times New Roman" w:hAnsi="Times New Roman" w:cs="Times New Roman"/>
                <w:b/>
                <w:bCs/>
                <w:szCs w:val="21"/>
              </w:rPr>
              <w:t>课程名称</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r>
              <w:rPr>
                <w:rFonts w:ascii="Times New Roman" w:hAnsi="Times New Roman" w:cs="Times New Roman"/>
                <w:b/>
                <w:bCs/>
                <w:szCs w:val="21"/>
              </w:rPr>
              <w:t>学分</w:t>
            </w:r>
          </w:p>
        </w:tc>
        <w:tc>
          <w:tcPr>
            <w:tcW w:w="56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r>
              <w:rPr>
                <w:rFonts w:ascii="Times New Roman" w:hAnsi="Times New Roman" w:cs="Times New Roman"/>
                <w:b/>
                <w:bCs/>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r>
              <w:rPr>
                <w:rFonts w:ascii="Times New Roman" w:hAnsi="Times New Roman" w:cs="Times New Roman"/>
                <w:bCs/>
                <w:szCs w:val="21"/>
              </w:rPr>
              <w:t>公共学位课</w:t>
            </w: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141003</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MLMD600314</w:t>
            </w:r>
          </w:p>
        </w:tc>
        <w:tc>
          <w:tcPr>
            <w:tcW w:w="152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hint="eastAsia" w:ascii="Times New Roman" w:hAnsi="Times New Roman" w:cs="Times New Roman"/>
                <w:szCs w:val="21"/>
              </w:rPr>
              <w:t>新时代</w:t>
            </w:r>
            <w:r>
              <w:rPr>
                <w:rFonts w:ascii="Times New Roman" w:hAnsi="Times New Roman" w:cs="Times New Roman"/>
                <w:szCs w:val="21"/>
              </w:rPr>
              <w:t>中国特色社会主义理论与实践</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3"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5</w:t>
            </w:r>
            <w:r>
              <w:rPr>
                <w:rFonts w:hint="eastAsia" w:ascii="Times New Roman" w:hAnsi="Times New Roman" w:cs="Times New Roman"/>
                <w:szCs w:val="21"/>
              </w:rPr>
              <w:t>学分</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（必修）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141005</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PHLS600114</w:t>
            </w:r>
          </w:p>
        </w:tc>
        <w:tc>
          <w:tcPr>
            <w:tcW w:w="152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自然辩证法</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56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3</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12106</w:t>
            </w:r>
            <w:r>
              <w:rPr>
                <w:rFonts w:hint="eastAsia" w:ascii="宋体" w:hAnsi="宋体" w:eastAsia="宋体" w:cs="Times New Roman"/>
                <w:szCs w:val="21"/>
              </w:rPr>
              <w:t>7</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ENGL602112</w:t>
            </w:r>
          </w:p>
        </w:tc>
        <w:tc>
          <w:tcPr>
            <w:tcW w:w="152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hint="eastAsia" w:ascii="Times New Roman" w:hAnsi="Times New Roman" w:cs="Times New Roman"/>
                <w:szCs w:val="21"/>
              </w:rPr>
              <w:t>学术英语二</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4</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141006</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MLMD600114</w:t>
            </w:r>
          </w:p>
        </w:tc>
        <w:tc>
          <w:tcPr>
            <w:tcW w:w="152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中国马克思主义与当代</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3"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left="-42" w:leftChars="-20" w:right="-42" w:rightChars="-20"/>
              <w:textAlignment w:val="auto"/>
              <w:rPr>
                <w:rFonts w:ascii="Times New Roman" w:hAnsi="Times New Roman" w:cs="Times New Roman"/>
                <w:spacing w:val="-4"/>
                <w:szCs w:val="21"/>
              </w:rPr>
            </w:pPr>
            <w:r>
              <w:rPr>
                <w:rFonts w:ascii="Times New Roman" w:hAnsi="Times New Roman" w:cs="Times New Roman"/>
                <w:spacing w:val="-4"/>
                <w:szCs w:val="21"/>
              </w:rPr>
              <w:t>进入博士培养阶段后必选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r>
              <w:rPr>
                <w:rFonts w:hint="eastAsia" w:ascii="宋体" w:hAnsi="宋体" w:eastAsia="宋体" w:cs="宋体"/>
                <w:szCs w:val="21"/>
              </w:rPr>
              <w:t>学科</w:t>
            </w:r>
            <w:r>
              <w:rPr>
                <w:rFonts w:ascii="Times New Roman" w:hAnsi="Times New Roman" w:cs="Times New Roman"/>
                <w:bCs/>
                <w:szCs w:val="21"/>
              </w:rPr>
              <w:t>学位课</w:t>
            </w: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152050</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PUBH610715</w:t>
            </w:r>
          </w:p>
        </w:tc>
        <w:tc>
          <w:tcPr>
            <w:tcW w:w="152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医学统计学</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3"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8</w:t>
            </w:r>
            <w:r>
              <w:rPr>
                <w:rFonts w:hint="eastAsia" w:ascii="Times New Roman" w:hAnsi="Times New Roman" w:cs="Times New Roman"/>
                <w:szCs w:val="21"/>
              </w:rPr>
              <w:t>学分</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（必修）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153043</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BASM6125</w:t>
            </w:r>
            <w:r>
              <w:rPr>
                <w:rFonts w:hint="eastAsia" w:cs="Times New Roman" w:asciiTheme="minorEastAsia" w:hAnsiTheme="minorEastAsia"/>
                <w:szCs w:val="21"/>
              </w:rPr>
              <w:t>15</w:t>
            </w:r>
          </w:p>
        </w:tc>
        <w:tc>
          <w:tcPr>
            <w:tcW w:w="152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hint="eastAsia" w:cs="Times New Roman" w:asciiTheme="minorEastAsia" w:hAnsiTheme="minorEastAsia"/>
                <w:szCs w:val="21"/>
              </w:rPr>
              <w:t>Medical</w:t>
            </w:r>
            <w:r>
              <w:rPr>
                <w:rFonts w:cs="Times New Roman" w:asciiTheme="minorEastAsia" w:hAnsiTheme="minorEastAsia"/>
                <w:szCs w:val="21"/>
              </w:rPr>
              <w:t xml:space="preserve"> </w:t>
            </w:r>
            <w:r>
              <w:rPr>
                <w:rFonts w:hint="eastAsia" w:cs="Times New Roman" w:asciiTheme="minorEastAsia" w:hAnsiTheme="minorEastAsia"/>
                <w:szCs w:val="21"/>
              </w:rPr>
              <w:t>Molecular</w:t>
            </w:r>
            <w:r>
              <w:rPr>
                <w:rFonts w:cs="Times New Roman" w:asciiTheme="minorEastAsia" w:hAnsiTheme="minorEastAsia"/>
                <w:szCs w:val="21"/>
              </w:rPr>
              <w:t xml:space="preserve"> </w:t>
            </w:r>
            <w:r>
              <w:rPr>
                <w:rFonts w:hint="eastAsia" w:cs="Times New Roman" w:asciiTheme="minorEastAsia" w:hAnsiTheme="minorEastAsia"/>
                <w:szCs w:val="21"/>
              </w:rPr>
              <w:t>Biology（全英文）</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3</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152044</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PUBH610115</w:t>
            </w:r>
          </w:p>
        </w:tc>
        <w:tc>
          <w:tcPr>
            <w:tcW w:w="152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临床流行病学</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4</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152007</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BASM610515</w:t>
            </w:r>
          </w:p>
        </w:tc>
        <w:tc>
          <w:tcPr>
            <w:tcW w:w="152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医学免疫学</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152102</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CLIM710815</w:t>
            </w:r>
          </w:p>
        </w:tc>
        <w:tc>
          <w:tcPr>
            <w:tcW w:w="152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内科学（2）</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3"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根据学生的专业选修</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2学分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152105</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CLIM711115</w:t>
            </w:r>
          </w:p>
        </w:tc>
        <w:tc>
          <w:tcPr>
            <w:tcW w:w="152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儿科学（2）</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3</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152130</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CLIM711715</w:t>
            </w:r>
          </w:p>
        </w:tc>
        <w:tc>
          <w:tcPr>
            <w:tcW w:w="152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老年医学（2）</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4</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152104</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CLIM711015</w:t>
            </w:r>
          </w:p>
        </w:tc>
        <w:tc>
          <w:tcPr>
            <w:tcW w:w="152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神经病学（2）</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5</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152108</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CLIM711315</w:t>
            </w:r>
          </w:p>
        </w:tc>
        <w:tc>
          <w:tcPr>
            <w:tcW w:w="152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精神病与精神卫生学（2）</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6</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152103</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CLIM710915</w:t>
            </w:r>
          </w:p>
        </w:tc>
        <w:tc>
          <w:tcPr>
            <w:tcW w:w="152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皮肤病与性病学（2）</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7</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152109</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CLIM711415</w:t>
            </w:r>
          </w:p>
        </w:tc>
        <w:tc>
          <w:tcPr>
            <w:tcW w:w="152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影像医学与核医学（2）</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8</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152114</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CLIM711615</w:t>
            </w:r>
          </w:p>
        </w:tc>
        <w:tc>
          <w:tcPr>
            <w:tcW w:w="152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临床检验诊断学（2）</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9</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152106</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CLIM711215</w:t>
            </w:r>
          </w:p>
        </w:tc>
        <w:tc>
          <w:tcPr>
            <w:tcW w:w="152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外科学（2）</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10</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152101</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CLIM710715</w:t>
            </w:r>
          </w:p>
        </w:tc>
        <w:tc>
          <w:tcPr>
            <w:tcW w:w="152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妇产科学（2）</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11</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152099</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CLIM710515</w:t>
            </w:r>
          </w:p>
        </w:tc>
        <w:tc>
          <w:tcPr>
            <w:tcW w:w="152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眼科学（2）</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12</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152097</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CLIM710315</w:t>
            </w:r>
          </w:p>
        </w:tc>
        <w:tc>
          <w:tcPr>
            <w:tcW w:w="152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耳鼻咽喉科学（2）</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13</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152098</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CLIM710415</w:t>
            </w:r>
          </w:p>
        </w:tc>
        <w:tc>
          <w:tcPr>
            <w:tcW w:w="152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肿瘤学（2）</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14</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152163</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CLIM711815</w:t>
            </w:r>
          </w:p>
        </w:tc>
        <w:tc>
          <w:tcPr>
            <w:tcW w:w="152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康复医学与理疗学（2）</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15</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152100</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CLIM710615</w:t>
            </w:r>
          </w:p>
        </w:tc>
        <w:tc>
          <w:tcPr>
            <w:tcW w:w="152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麻醉学（2）</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16</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152113</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CLIM711515</w:t>
            </w:r>
          </w:p>
        </w:tc>
        <w:tc>
          <w:tcPr>
            <w:tcW w:w="152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急诊医学（2）</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continue"/>
            <w:tcBorders>
              <w:bottom w:val="single" w:color="auto" w:sz="4"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17</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153004</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CLIM712215</w:t>
            </w:r>
          </w:p>
        </w:tc>
        <w:tc>
          <w:tcPr>
            <w:tcW w:w="152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临床护理学（2）</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restart"/>
            <w:tcBorders>
              <w:top w:val="single" w:color="auto" w:sz="4"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r>
              <w:rPr>
                <w:rFonts w:hint="eastAsia" w:ascii="Times New Roman" w:hAnsi="Times New Roman" w:cs="Times New Roman"/>
                <w:bCs/>
                <w:szCs w:val="21"/>
              </w:rPr>
              <w:t>学科选修课</w:t>
            </w: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1</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152075</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BASM611715</w:t>
            </w:r>
          </w:p>
        </w:tc>
        <w:tc>
          <w:tcPr>
            <w:tcW w:w="152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医学科学研究导论</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3"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I类选修课</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≥4学分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152078</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BASM611815</w:t>
            </w:r>
          </w:p>
        </w:tc>
        <w:tc>
          <w:tcPr>
            <w:tcW w:w="152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诺贝尔奖论文剖析</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3</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152042</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BIOL611315</w:t>
            </w:r>
          </w:p>
        </w:tc>
        <w:tc>
          <w:tcPr>
            <w:tcW w:w="152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医学遗传学</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4</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152041</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BIOL611215</w:t>
            </w:r>
          </w:p>
        </w:tc>
        <w:tc>
          <w:tcPr>
            <w:tcW w:w="152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分子细胞生物学</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5</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152189</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BASM612415</w:t>
            </w:r>
          </w:p>
        </w:tc>
        <w:tc>
          <w:tcPr>
            <w:tcW w:w="152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生物信息学</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32" w:type="pct"/>
            <w:tcBorders>
              <w:bottom w:val="single" w:color="auto" w:sz="4"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6</w:t>
            </w:r>
          </w:p>
        </w:tc>
        <w:tc>
          <w:tcPr>
            <w:tcW w:w="568" w:type="pct"/>
            <w:tcBorders>
              <w:bottom w:val="single" w:color="auto" w:sz="4"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152073</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BASM611615</w:t>
            </w:r>
          </w:p>
        </w:tc>
        <w:tc>
          <w:tcPr>
            <w:tcW w:w="152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动物实验与实验动物学</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 w:hRule="atLeast"/>
          <w:jc w:val="center"/>
        </w:trPr>
        <w:tc>
          <w:tcPr>
            <w:tcW w:w="837" w:type="pct"/>
            <w:vMerge w:val="restart"/>
            <w:tcBorders>
              <w:top w:val="single" w:color="auto" w:sz="4"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r>
              <w:rPr>
                <w:rFonts w:hint="eastAsia" w:ascii="宋体" w:hAnsi="宋体" w:eastAsia="宋体" w:cs="宋体"/>
                <w:szCs w:val="21"/>
              </w:rPr>
              <w:t>其他</w:t>
            </w:r>
            <w:r>
              <w:rPr>
                <w:rFonts w:ascii="Times New Roman" w:hAnsi="Times New Roman" w:cs="Times New Roman"/>
                <w:bCs/>
                <w:szCs w:val="21"/>
              </w:rPr>
              <w:t>选修课</w:t>
            </w:r>
          </w:p>
        </w:tc>
        <w:tc>
          <w:tcPr>
            <w:tcW w:w="332" w:type="pct"/>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1</w:t>
            </w:r>
          </w:p>
        </w:tc>
        <w:tc>
          <w:tcPr>
            <w:tcW w:w="568" w:type="pct"/>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hint="eastAsia" w:ascii="宋体" w:hAnsi="宋体" w:eastAsia="宋体" w:cs="Times New Roman"/>
                <w:szCs w:val="21"/>
              </w:rPr>
              <w:t>153044</w:t>
            </w:r>
          </w:p>
        </w:tc>
        <w:tc>
          <w:tcPr>
            <w:tcW w:w="796" w:type="pct"/>
            <w:tcBorders>
              <w:bottom w:val="single" w:color="auto" w:sz="4"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BASM612615</w:t>
            </w:r>
          </w:p>
        </w:tc>
        <w:tc>
          <w:tcPr>
            <w:tcW w:w="1529" w:type="pct"/>
            <w:tcBorders>
              <w:bottom w:val="single" w:color="auto" w:sz="4"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研究生</w:t>
            </w:r>
            <w:r>
              <w:rPr>
                <w:rFonts w:ascii="Times New Roman" w:hAnsi="Times New Roman" w:eastAsia="宋体" w:cs="Times New Roman"/>
                <w:szCs w:val="21"/>
              </w:rPr>
              <w:t>论文写作</w:t>
            </w:r>
            <w:r>
              <w:rPr>
                <w:rFonts w:hint="eastAsia" w:ascii="Times New Roman" w:hAnsi="Times New Roman" w:eastAsia="宋体" w:cs="Times New Roman"/>
                <w:szCs w:val="21"/>
              </w:rPr>
              <w:t>指导（15）</w:t>
            </w:r>
          </w:p>
        </w:tc>
        <w:tc>
          <w:tcPr>
            <w:tcW w:w="371" w:type="pct"/>
            <w:tcBorders>
              <w:bottom w:val="single" w:color="auto" w:sz="4"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（必修）</w:t>
            </w:r>
          </w:p>
        </w:tc>
        <w:tc>
          <w:tcPr>
            <w:tcW w:w="563"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II类选修</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ascii="Times New Roman" w:hAnsi="Times New Roman" w:cs="Times New Roman"/>
                <w:szCs w:val="21"/>
              </w:rPr>
              <w:t>≥4学分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 w:hRule="atLeast"/>
          <w:jc w:val="center"/>
        </w:trPr>
        <w:tc>
          <w:tcPr>
            <w:tcW w:w="83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szCs w:val="21"/>
              </w:rPr>
            </w:pPr>
          </w:p>
        </w:tc>
        <w:tc>
          <w:tcPr>
            <w:tcW w:w="332" w:type="pct"/>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8" w:type="pct"/>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hint="eastAsia" w:ascii="Times New Roman" w:hAnsi="Times New Roman" w:cs="Times New Roman"/>
                <w:szCs w:val="21"/>
              </w:rPr>
              <w:t>/</w:t>
            </w:r>
          </w:p>
        </w:tc>
        <w:tc>
          <w:tcPr>
            <w:tcW w:w="796" w:type="pct"/>
            <w:tcBorders>
              <w:bottom w:val="single" w:color="auto" w:sz="4"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hint="eastAsia" w:cs="Times New Roman" w:asciiTheme="minorEastAsia" w:hAnsiTheme="minorEastAsia"/>
                <w:szCs w:val="21"/>
              </w:rPr>
              <w:t>/</w:t>
            </w:r>
          </w:p>
        </w:tc>
        <w:tc>
          <w:tcPr>
            <w:tcW w:w="1529" w:type="pct"/>
            <w:tcBorders>
              <w:bottom w:val="single" w:color="auto" w:sz="4"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hint="eastAsia" w:ascii="Times New Roman" w:hAnsi="Times New Roman" w:cs="Times New Roman"/>
                <w:szCs w:val="21"/>
              </w:rPr>
              <w:t>在</w:t>
            </w:r>
            <w:r>
              <w:rPr>
                <w:rFonts w:ascii="Times New Roman" w:hAnsi="Times New Roman" w:cs="Times New Roman"/>
                <w:szCs w:val="21"/>
              </w:rPr>
              <w:t>通选课中至少选一门</w:t>
            </w:r>
          </w:p>
        </w:tc>
        <w:tc>
          <w:tcPr>
            <w:tcW w:w="371"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≥3</w:t>
            </w:r>
          </w:p>
        </w:tc>
        <w:tc>
          <w:tcPr>
            <w:tcW w:w="56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 w:hRule="atLeast"/>
          <w:jc w:val="center"/>
        </w:trPr>
        <w:tc>
          <w:tcPr>
            <w:tcW w:w="837" w:type="pct"/>
            <w:vMerge w:val="continue"/>
            <w:tcBorders>
              <w:bottom w:val="single" w:color="auto" w:sz="4"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szCs w:val="21"/>
              </w:rPr>
            </w:pPr>
          </w:p>
        </w:tc>
        <w:tc>
          <w:tcPr>
            <w:tcW w:w="332" w:type="pct"/>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3</w:t>
            </w:r>
          </w:p>
        </w:tc>
        <w:tc>
          <w:tcPr>
            <w:tcW w:w="568" w:type="pct"/>
            <w:tcBorders>
              <w:top w:val="single" w:color="auto" w:sz="4" w:space="0"/>
              <w:bottom w:val="single" w:color="auto" w:sz="4"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hint="eastAsia" w:ascii="Times New Roman" w:hAnsi="Times New Roman" w:cs="Times New Roman"/>
                <w:szCs w:val="21"/>
              </w:rPr>
              <w:t>/</w:t>
            </w:r>
          </w:p>
        </w:tc>
        <w:tc>
          <w:tcPr>
            <w:tcW w:w="796" w:type="pct"/>
            <w:tcBorders>
              <w:bottom w:val="single" w:color="auto" w:sz="4"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hint="eastAsia" w:cs="Times New Roman" w:asciiTheme="minorEastAsia" w:hAnsiTheme="minorEastAsia"/>
                <w:szCs w:val="21"/>
              </w:rPr>
              <w:t>/</w:t>
            </w:r>
          </w:p>
        </w:tc>
        <w:tc>
          <w:tcPr>
            <w:tcW w:w="1529" w:type="pct"/>
            <w:tcBorders>
              <w:bottom w:val="single" w:color="auto" w:sz="4"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eastAsia="宋体" w:cs="Times New Roman"/>
                <w:szCs w:val="21"/>
              </w:rPr>
              <w:t>研究生课程目录上选修</w:t>
            </w:r>
          </w:p>
        </w:tc>
        <w:tc>
          <w:tcPr>
            <w:tcW w:w="371" w:type="pct"/>
            <w:vMerge w:val="continue"/>
            <w:tcBorders>
              <w:bottom w:val="single" w:color="auto" w:sz="4"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c>
          <w:tcPr>
            <w:tcW w:w="563" w:type="pct"/>
            <w:vMerge w:val="continue"/>
            <w:tcBorders>
              <w:bottom w:val="single" w:color="auto" w:sz="4"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r>
              <w:rPr>
                <w:rFonts w:hint="eastAsia" w:ascii="Times New Roman" w:hAnsi="Times New Roman" w:cs="Times New Roman"/>
                <w:bCs/>
                <w:szCs w:val="21"/>
              </w:rPr>
              <w:t>必修</w:t>
            </w:r>
            <w:r>
              <w:rPr>
                <w:rFonts w:ascii="Times New Roman" w:hAnsi="Times New Roman" w:cs="Times New Roman"/>
                <w:bCs/>
                <w:szCs w:val="21"/>
              </w:rPr>
              <w:t>环节</w:t>
            </w: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001999</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BXHJ8003</w:t>
            </w:r>
            <w:r>
              <w:rPr>
                <w:rFonts w:hint="eastAsia" w:cs="Times New Roman" w:asciiTheme="minorEastAsia" w:hAnsiTheme="minorEastAsia"/>
                <w:szCs w:val="21"/>
              </w:rPr>
              <w:t>99</w:t>
            </w:r>
          </w:p>
        </w:tc>
        <w:tc>
          <w:tcPr>
            <w:tcW w:w="1529"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学术活动（讲座）博</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2（硕1）</w:t>
            </w:r>
          </w:p>
        </w:tc>
        <w:tc>
          <w:tcPr>
            <w:tcW w:w="563"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17学分</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（必修）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001987</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BXHJ6006</w:t>
            </w:r>
            <w:r>
              <w:rPr>
                <w:rFonts w:hint="eastAsia" w:cs="Times New Roman" w:asciiTheme="minorEastAsia" w:hAnsiTheme="minorEastAsia"/>
                <w:szCs w:val="21"/>
              </w:rPr>
              <w:t>99</w:t>
            </w:r>
          </w:p>
        </w:tc>
        <w:tc>
          <w:tcPr>
            <w:tcW w:w="1529"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社会实践</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1（硕1）</w:t>
            </w:r>
          </w:p>
        </w:tc>
        <w:tc>
          <w:tcPr>
            <w:tcW w:w="56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3</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001972</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BXHJ8007</w:t>
            </w:r>
            <w:r>
              <w:rPr>
                <w:rFonts w:hint="eastAsia" w:cs="Times New Roman" w:asciiTheme="minorEastAsia" w:hAnsiTheme="minorEastAsia"/>
                <w:szCs w:val="21"/>
              </w:rPr>
              <w:t>99</w:t>
            </w:r>
          </w:p>
        </w:tc>
        <w:tc>
          <w:tcPr>
            <w:tcW w:w="1529"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两助一辅</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4</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001995</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BXHJ8002</w:t>
            </w:r>
            <w:r>
              <w:rPr>
                <w:rFonts w:hint="eastAsia" w:cs="Times New Roman" w:asciiTheme="minorEastAsia" w:hAnsiTheme="minorEastAsia"/>
                <w:szCs w:val="21"/>
              </w:rPr>
              <w:t>99</w:t>
            </w:r>
          </w:p>
        </w:tc>
        <w:tc>
          <w:tcPr>
            <w:tcW w:w="1529"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基金撰写</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56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5</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001970</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BXHJ8009</w:t>
            </w:r>
            <w:r>
              <w:rPr>
                <w:rFonts w:hint="eastAsia" w:cs="Times New Roman" w:asciiTheme="minorEastAsia" w:hAnsiTheme="minorEastAsia"/>
                <w:szCs w:val="21"/>
              </w:rPr>
              <w:t>99</w:t>
            </w:r>
          </w:p>
        </w:tc>
        <w:tc>
          <w:tcPr>
            <w:tcW w:w="1529"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国际化交流</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56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6</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cs="Times New Roman" w:asciiTheme="minorEastAsia" w:hAnsiTheme="minorEastAsia"/>
                <w:szCs w:val="21"/>
              </w:rPr>
              <w:t>001986</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BXHJ8004</w:t>
            </w:r>
            <w:r>
              <w:rPr>
                <w:rFonts w:hint="eastAsia" w:cs="Times New Roman" w:asciiTheme="minorEastAsia" w:hAnsiTheme="minorEastAsia"/>
                <w:szCs w:val="21"/>
              </w:rPr>
              <w:t>99</w:t>
            </w:r>
          </w:p>
        </w:tc>
        <w:tc>
          <w:tcPr>
            <w:tcW w:w="1529"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开题报告（博）</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2（硕1）</w:t>
            </w:r>
          </w:p>
        </w:tc>
        <w:tc>
          <w:tcPr>
            <w:tcW w:w="56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7</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001994</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BXHJ8001</w:t>
            </w:r>
            <w:r>
              <w:rPr>
                <w:rFonts w:hint="eastAsia" w:cs="Times New Roman" w:asciiTheme="minorEastAsia" w:hAnsiTheme="minorEastAsia"/>
                <w:szCs w:val="21"/>
              </w:rPr>
              <w:t>99</w:t>
            </w:r>
          </w:p>
        </w:tc>
        <w:tc>
          <w:tcPr>
            <w:tcW w:w="1529"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中期考核（博）</w:t>
            </w:r>
          </w:p>
        </w:tc>
        <w:tc>
          <w:tcPr>
            <w:tcW w:w="37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6（硕3）</w:t>
            </w:r>
          </w:p>
        </w:tc>
        <w:tc>
          <w:tcPr>
            <w:tcW w:w="56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8</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001971</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INFT600499</w:t>
            </w:r>
          </w:p>
        </w:tc>
        <w:tc>
          <w:tcPr>
            <w:tcW w:w="1529"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文献阅读</w:t>
            </w:r>
          </w:p>
        </w:tc>
        <w:tc>
          <w:tcPr>
            <w:tcW w:w="371"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6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9</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001954</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B</w:t>
            </w:r>
            <w:r>
              <w:rPr>
                <w:rFonts w:cs="Times New Roman" w:asciiTheme="minorEastAsia" w:hAnsiTheme="minorEastAsia"/>
                <w:szCs w:val="21"/>
              </w:rPr>
              <w:t>XHJ602499</w:t>
            </w:r>
          </w:p>
        </w:tc>
        <w:tc>
          <w:tcPr>
            <w:tcW w:w="1529"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hint="eastAsia" w:cs="Times New Roman" w:asciiTheme="minorEastAsia" w:hAnsiTheme="minorEastAsia"/>
                <w:szCs w:val="21"/>
              </w:rPr>
              <w:t>劳动教育</w:t>
            </w:r>
          </w:p>
        </w:tc>
        <w:tc>
          <w:tcPr>
            <w:tcW w:w="371"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0</w:t>
            </w:r>
          </w:p>
        </w:tc>
        <w:tc>
          <w:tcPr>
            <w:tcW w:w="56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10</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001955</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B</w:t>
            </w:r>
            <w:r>
              <w:rPr>
                <w:rFonts w:cs="Times New Roman" w:asciiTheme="minorEastAsia" w:hAnsiTheme="minorEastAsia"/>
                <w:szCs w:val="21"/>
              </w:rPr>
              <w:t>XHJ602399</w:t>
            </w:r>
          </w:p>
        </w:tc>
        <w:tc>
          <w:tcPr>
            <w:tcW w:w="1529"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cs="Times New Roman" w:asciiTheme="minorEastAsia" w:hAnsiTheme="minorEastAsia"/>
                <w:szCs w:val="21"/>
              </w:rPr>
            </w:pPr>
            <w:r>
              <w:rPr>
                <w:rFonts w:hint="eastAsia" w:cs="Times New Roman" w:asciiTheme="minorEastAsia" w:hAnsiTheme="minorEastAsia"/>
                <w:szCs w:val="21"/>
              </w:rPr>
              <w:t>美育</w:t>
            </w:r>
          </w:p>
        </w:tc>
        <w:tc>
          <w:tcPr>
            <w:tcW w:w="371"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0</w:t>
            </w:r>
          </w:p>
        </w:tc>
        <w:tc>
          <w:tcPr>
            <w:tcW w:w="56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83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3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11</w:t>
            </w:r>
          </w:p>
        </w:tc>
        <w:tc>
          <w:tcPr>
            <w:tcW w:w="568"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001956</w:t>
            </w:r>
          </w:p>
        </w:tc>
        <w:tc>
          <w:tcPr>
            <w:tcW w:w="7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B</w:t>
            </w:r>
            <w:r>
              <w:rPr>
                <w:rFonts w:cs="Times New Roman" w:asciiTheme="minorEastAsia" w:hAnsiTheme="minorEastAsia"/>
                <w:szCs w:val="21"/>
              </w:rPr>
              <w:t>XHJ602299</w:t>
            </w:r>
          </w:p>
        </w:tc>
        <w:tc>
          <w:tcPr>
            <w:tcW w:w="1529"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cs="Times New Roman" w:asciiTheme="minorEastAsia" w:hAnsiTheme="minorEastAsia"/>
                <w:szCs w:val="21"/>
              </w:rPr>
            </w:pPr>
            <w:r>
              <w:rPr>
                <w:rFonts w:hint="eastAsia" w:cs="Times New Roman" w:asciiTheme="minorEastAsia" w:hAnsiTheme="minorEastAsia"/>
                <w:szCs w:val="21"/>
              </w:rPr>
              <w:t>体育</w:t>
            </w:r>
          </w:p>
        </w:tc>
        <w:tc>
          <w:tcPr>
            <w:tcW w:w="371"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0</w:t>
            </w:r>
          </w:p>
        </w:tc>
        <w:tc>
          <w:tcPr>
            <w:tcW w:w="56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bl>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bookmarkStart w:id="412" w:name="_Toc508210284"/>
      <w:bookmarkStart w:id="413" w:name="_Toc500668314"/>
      <w:bookmarkStart w:id="414" w:name="_Toc500683451"/>
      <w:bookmarkStart w:id="415" w:name="_Toc500665687"/>
      <w:bookmarkStart w:id="416" w:name="_Toc508119597"/>
      <w:bookmarkStart w:id="417" w:name="_Toc508811187"/>
      <w:r>
        <w:rPr>
          <w:rFonts w:ascii="黑体" w:hAnsi="黑体" w:eastAsia="黑体"/>
          <w:sz w:val="24"/>
          <w:szCs w:val="24"/>
        </w:rPr>
        <w:t>六、</w:t>
      </w:r>
      <w:r>
        <w:rPr>
          <w:rFonts w:hint="eastAsia" w:ascii="黑体" w:hAnsi="黑体" w:eastAsia="黑体"/>
          <w:sz w:val="24"/>
          <w:szCs w:val="24"/>
        </w:rPr>
        <w:t>必修</w:t>
      </w:r>
      <w:r>
        <w:rPr>
          <w:rFonts w:ascii="黑体" w:hAnsi="黑体" w:eastAsia="黑体"/>
          <w:sz w:val="24"/>
          <w:szCs w:val="24"/>
        </w:rPr>
        <w:t>环节</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．学</w:t>
      </w:r>
      <w:r>
        <w:rPr>
          <w:rFonts w:ascii="Times New Roman" w:hAnsi="Times New Roman" w:eastAsia="宋体" w:cs="Times New Roman"/>
          <w:b/>
          <w:bCs/>
          <w:szCs w:val="21"/>
        </w:rPr>
        <w:t>术活动（讲座）</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硕博贯通</w:t>
      </w:r>
      <w:r>
        <w:rPr>
          <w:rFonts w:ascii="Times New Roman" w:hAnsi="Times New Roman" w:eastAsia="宋体" w:cs="Times New Roman"/>
          <w:szCs w:val="21"/>
        </w:rPr>
        <w:t>研究生学术活动（讲座）分为必听讲座和选听讲座。必听讲座为</w:t>
      </w:r>
      <w:r>
        <w:rPr>
          <w:rFonts w:cs="Times New Roman" w:asciiTheme="minorEastAsia" w:hAnsiTheme="minorEastAsia"/>
          <w:szCs w:val="21"/>
        </w:rPr>
        <w:t>“科学道德与学风建设”</w:t>
      </w:r>
      <w:r>
        <w:rPr>
          <w:rFonts w:ascii="Times New Roman" w:hAnsi="Times New Roman" w:eastAsia="宋体" w:cs="Times New Roman"/>
          <w:szCs w:val="21"/>
        </w:rPr>
        <w:t>；选听讲座包括与学科紧密相关</w:t>
      </w:r>
      <w:r>
        <w:rPr>
          <w:rFonts w:cs="Times New Roman" w:asciiTheme="minorEastAsia" w:hAnsiTheme="minorEastAsia"/>
          <w:szCs w:val="21"/>
        </w:rPr>
        <w:t>的“学</w:t>
      </w:r>
      <w:r>
        <w:rPr>
          <w:rFonts w:ascii="Times New Roman" w:hAnsi="Times New Roman" w:eastAsia="宋体" w:cs="Times New Roman"/>
          <w:szCs w:val="21"/>
        </w:rPr>
        <w:t>科前沿系列专题</w:t>
      </w:r>
      <w:r>
        <w:rPr>
          <w:rFonts w:cs="Times New Roman" w:asciiTheme="minorEastAsia" w:hAnsiTheme="minorEastAsia"/>
          <w:szCs w:val="21"/>
        </w:rPr>
        <w:t>讲座”（</w:t>
      </w:r>
      <w:r>
        <w:rPr>
          <w:rFonts w:ascii="Times New Roman" w:hAnsi="Times New Roman" w:eastAsia="宋体" w:cs="Times New Roman"/>
          <w:szCs w:val="21"/>
        </w:rPr>
        <w:t>由各二级学科组织若干教授对本学科前沿知识进行讲座，每个讲座由5个以上讲座组成）一个系列和在全校范围内选听</w:t>
      </w:r>
      <w:r>
        <w:rPr>
          <w:rFonts w:cs="Times New Roman" w:asciiTheme="minorEastAsia" w:hAnsiTheme="minorEastAsia"/>
          <w:szCs w:val="21"/>
        </w:rPr>
        <w:t>“学术讲座”</w:t>
      </w:r>
      <w:r>
        <w:rPr>
          <w:rFonts w:ascii="Times New Roman" w:hAnsi="Times New Roman" w:eastAsia="宋体" w:cs="Times New Roman"/>
          <w:szCs w:val="21"/>
        </w:rPr>
        <w:t>1次，自己公开讲座1次，完成后记2学分</w:t>
      </w:r>
      <w:r>
        <w:rPr>
          <w:rFonts w:hint="eastAsia"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w:t>
      </w:r>
      <w:r>
        <w:rPr>
          <w:rFonts w:ascii="Times New Roman" w:hAnsi="Times New Roman" w:eastAsia="宋体" w:cs="Times New Roman"/>
          <w:b/>
          <w:bCs/>
          <w:szCs w:val="21"/>
        </w:rPr>
        <w:t>社会实践</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w:t>
      </w:r>
      <w:r>
        <w:rPr>
          <w:rFonts w:cs="Times New Roman" w:asciiTheme="minorEastAsia" w:hAnsiTheme="minorEastAsia"/>
          <w:szCs w:val="21"/>
        </w:rPr>
        <w:t>社会实践</w:t>
      </w:r>
      <w:r>
        <w:rPr>
          <w:rFonts w:hint="eastAsia" w:cs="Times New Roman" w:asciiTheme="minorEastAsia" w:hAnsiTheme="minorEastAsia"/>
          <w:szCs w:val="21"/>
        </w:rPr>
        <w:t>”</w:t>
      </w:r>
      <w:r>
        <w:rPr>
          <w:rFonts w:cs="Times New Roman" w:asciiTheme="minorEastAsia" w:hAnsiTheme="minorEastAsia"/>
          <w:szCs w:val="21"/>
        </w:rPr>
        <w:t>是指研究生在校学习期间，除完成本学科规定的业务实践外，接触社会、了解社会、服务社会的实践活动。</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可以通过组织和参与社会调查、支教、扶贫及其他志愿者服务等方式进行，提倡以小组或团队形式开展活动，累计不少于</w:t>
      </w:r>
      <w:r>
        <w:rPr>
          <w:rFonts w:ascii="Times New Roman" w:hAnsi="Times New Roman" w:cs="Times New Roman"/>
          <w:szCs w:val="21"/>
        </w:rPr>
        <w:t>10</w:t>
      </w:r>
      <w:r>
        <w:rPr>
          <w:rFonts w:cs="Times New Roman" w:asciiTheme="minorEastAsia" w:hAnsiTheme="minorEastAsia"/>
          <w:szCs w:val="21"/>
        </w:rPr>
        <w:t>个工作日。</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研</w:t>
      </w:r>
      <w:r>
        <w:rPr>
          <w:rFonts w:cs="Times New Roman" w:asciiTheme="minorEastAsia" w:hAnsiTheme="minorEastAsia"/>
          <w:spacing w:val="-2"/>
          <w:szCs w:val="21"/>
        </w:rPr>
        <w:t>究生完成</w:t>
      </w:r>
      <w:r>
        <w:rPr>
          <w:rFonts w:hint="eastAsia" w:cs="Times New Roman" w:asciiTheme="minorEastAsia" w:hAnsiTheme="minorEastAsia"/>
          <w:spacing w:val="-2"/>
          <w:szCs w:val="21"/>
        </w:rPr>
        <w:t>“</w:t>
      </w:r>
      <w:r>
        <w:rPr>
          <w:rFonts w:cs="Times New Roman" w:asciiTheme="minorEastAsia" w:hAnsiTheme="minorEastAsia"/>
          <w:spacing w:val="-2"/>
          <w:szCs w:val="21"/>
        </w:rPr>
        <w:t>社会实践</w:t>
      </w:r>
      <w:r>
        <w:rPr>
          <w:rFonts w:hint="eastAsia" w:cs="Times New Roman" w:asciiTheme="minorEastAsia" w:hAnsiTheme="minorEastAsia"/>
          <w:spacing w:val="-2"/>
          <w:szCs w:val="21"/>
        </w:rPr>
        <w:t>”</w:t>
      </w:r>
      <w:r>
        <w:rPr>
          <w:rFonts w:cs="Times New Roman" w:asciiTheme="minorEastAsia" w:hAnsiTheme="minorEastAsia"/>
          <w:spacing w:val="-2"/>
          <w:szCs w:val="21"/>
        </w:rPr>
        <w:t>活动后，需撰写不少于</w:t>
      </w:r>
      <w:r>
        <w:rPr>
          <w:rFonts w:ascii="Times New Roman" w:hAnsi="Times New Roman" w:cs="Times New Roman"/>
          <w:spacing w:val="-2"/>
          <w:szCs w:val="21"/>
        </w:rPr>
        <w:t>3000</w:t>
      </w:r>
      <w:r>
        <w:rPr>
          <w:rFonts w:cs="Times New Roman" w:asciiTheme="minorEastAsia" w:hAnsiTheme="minorEastAsia"/>
          <w:spacing w:val="-2"/>
          <w:szCs w:val="21"/>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rFonts w:ascii="Times New Roman" w:hAnsi="Times New Roman" w:cs="Times New Roman"/>
          <w:spacing w:val="-2"/>
          <w:szCs w:val="21"/>
        </w:rPr>
        <w:t>1</w:t>
      </w:r>
      <w:r>
        <w:rPr>
          <w:rFonts w:cs="Times New Roman" w:asciiTheme="minorEastAsia" w:hAnsiTheme="minorEastAsia"/>
          <w:spacing w:val="-2"/>
          <w:szCs w:val="21"/>
        </w:rPr>
        <w:t>学分。</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w:t>
      </w:r>
      <w:r>
        <w:rPr>
          <w:rFonts w:ascii="Times New Roman" w:hAnsi="Times New Roman" w:eastAsia="宋体" w:cs="Times New Roman"/>
          <w:b/>
          <w:bCs/>
          <w:szCs w:val="21"/>
        </w:rPr>
        <w:t>两助一辅</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w:t>
      </w:r>
      <w:r>
        <w:rPr>
          <w:rFonts w:cs="Times New Roman" w:asciiTheme="minorEastAsia" w:hAnsiTheme="minorEastAsia"/>
          <w:szCs w:val="21"/>
        </w:rPr>
        <w:t>两助一辅</w:t>
      </w:r>
      <w:r>
        <w:rPr>
          <w:rFonts w:hint="eastAsia" w:cs="Times New Roman" w:asciiTheme="minorEastAsia" w:hAnsiTheme="minorEastAsia"/>
          <w:szCs w:val="21"/>
        </w:rPr>
        <w:t>”</w:t>
      </w:r>
      <w:r>
        <w:rPr>
          <w:rFonts w:cs="Times New Roman" w:asciiTheme="minorEastAsia" w:hAnsiTheme="minorEastAsia"/>
          <w:szCs w:val="21"/>
        </w:rPr>
        <w:t>是指研究生担任助教、助管和辅导员工作，其目的是培养研究生的综合能力，是研究生培养过程的有机组成部分。</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全日制博士研究生在培养过程中必须完成至少一个标准岗位的助教、助管或辅导员工作。该环节纳入学分管理，通过后记</w:t>
      </w:r>
      <w:r>
        <w:rPr>
          <w:rFonts w:ascii="Times New Roman" w:hAnsi="Times New Roman" w:cs="Times New Roman"/>
          <w:szCs w:val="21"/>
        </w:rPr>
        <w:t>2</w:t>
      </w:r>
      <w:r>
        <w:rPr>
          <w:rFonts w:cs="Times New Roman" w:asciiTheme="minorEastAsia" w:hAnsiTheme="minorEastAsia"/>
          <w:szCs w:val="21"/>
        </w:rPr>
        <w:t>学分。</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4</w:t>
      </w:r>
      <w:r>
        <w:rPr>
          <w:rFonts w:hint="eastAsia" w:ascii="Times New Roman" w:hAnsi="Times New Roman" w:eastAsia="宋体" w:cs="Times New Roman"/>
          <w:b/>
          <w:bCs/>
          <w:szCs w:val="21"/>
        </w:rPr>
        <w:t>．</w:t>
      </w:r>
      <w:r>
        <w:rPr>
          <w:rFonts w:ascii="Times New Roman" w:hAnsi="Times New Roman" w:eastAsia="宋体" w:cs="Times New Roman"/>
          <w:b/>
          <w:bCs/>
          <w:szCs w:val="21"/>
        </w:rPr>
        <w:t>基金撰写</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kern w:val="0"/>
          <w:szCs w:val="21"/>
        </w:rPr>
      </w:pPr>
      <w:r>
        <w:rPr>
          <w:rFonts w:hint="eastAsia" w:ascii="Times New Roman" w:hAnsi="Times New Roman" w:eastAsia="宋体" w:cs="Times New Roman"/>
          <w:szCs w:val="21"/>
        </w:rPr>
        <w:t>硕博贯通</w:t>
      </w:r>
      <w:r>
        <w:rPr>
          <w:rFonts w:cs="Times New Roman" w:asciiTheme="minorEastAsia" w:hAnsiTheme="minorEastAsia"/>
          <w:szCs w:val="21"/>
        </w:rPr>
        <w:t>研究生在学习期间，须在导师指导下，完成一项国家科研基金申请书的撰写，培养博士生申请科研项目的能力，导师同意通过后，记</w:t>
      </w:r>
      <w:r>
        <w:rPr>
          <w:rFonts w:ascii="Times New Roman" w:hAnsi="Times New Roman" w:cs="Times New Roman"/>
          <w:szCs w:val="21"/>
        </w:rPr>
        <w:t>1</w:t>
      </w:r>
      <w:r>
        <w:rPr>
          <w:rFonts w:cs="Times New Roman" w:asciiTheme="minorEastAsia" w:hAnsiTheme="minorEastAsia"/>
          <w:szCs w:val="21"/>
        </w:rPr>
        <w:t>学分。</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5</w:t>
      </w:r>
      <w:r>
        <w:rPr>
          <w:rFonts w:hint="eastAsia" w:ascii="Times New Roman" w:hAnsi="Times New Roman" w:eastAsia="宋体" w:cs="Times New Roman"/>
          <w:b/>
          <w:bCs/>
          <w:szCs w:val="21"/>
        </w:rPr>
        <w:t>．</w:t>
      </w:r>
      <w:r>
        <w:rPr>
          <w:rFonts w:ascii="Times New Roman" w:hAnsi="Times New Roman" w:eastAsia="宋体" w:cs="Times New Roman"/>
          <w:b/>
          <w:bCs/>
          <w:szCs w:val="21"/>
        </w:rPr>
        <w:t>国际化交流</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kern w:val="0"/>
          <w:szCs w:val="21"/>
        </w:rPr>
        <w:t>立足于培养</w:t>
      </w:r>
      <w:r>
        <w:rPr>
          <w:rFonts w:hint="eastAsia" w:ascii="Times New Roman" w:hAnsi="Times New Roman" w:eastAsia="宋体" w:cs="Times New Roman"/>
          <w:szCs w:val="21"/>
        </w:rPr>
        <w:t>硕博贯通</w:t>
      </w:r>
      <w:r>
        <w:rPr>
          <w:rFonts w:cs="Times New Roman" w:asciiTheme="minorEastAsia" w:hAnsiTheme="minorEastAsia"/>
          <w:kern w:val="0"/>
          <w:szCs w:val="21"/>
        </w:rPr>
        <w:t>研究生的全球化视野，</w:t>
      </w:r>
      <w:r>
        <w:rPr>
          <w:rFonts w:cs="Times New Roman" w:asciiTheme="minorEastAsia" w:hAnsiTheme="minorEastAsia"/>
          <w:szCs w:val="21"/>
        </w:rPr>
        <w:t>研究生在校期间，达到以下条件之一记1学分：</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1</w:t>
      </w:r>
      <w:r>
        <w:rPr>
          <w:rFonts w:cs="Times New Roman" w:asciiTheme="minorEastAsia" w:hAnsiTheme="minorEastAsia"/>
          <w:szCs w:val="21"/>
        </w:rPr>
        <w:t>）</w:t>
      </w:r>
      <w:r>
        <w:rPr>
          <w:rFonts w:hint="eastAsia" w:ascii="Times New Roman" w:hAnsi="Times New Roman" w:cs="Times New Roman"/>
          <w:szCs w:val="21"/>
        </w:rPr>
        <w:t>CSC</w:t>
      </w:r>
      <w:r>
        <w:rPr>
          <w:rFonts w:hint="eastAsia" w:cs="Times New Roman" w:asciiTheme="minorEastAsia" w:hAnsiTheme="minorEastAsia"/>
          <w:szCs w:val="21"/>
        </w:rPr>
        <w:t>项目；</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2</w:t>
      </w:r>
      <w:r>
        <w:rPr>
          <w:rFonts w:cs="Times New Roman" w:asciiTheme="minorEastAsia" w:hAnsiTheme="minorEastAsia"/>
          <w:szCs w:val="21"/>
        </w:rPr>
        <w:t>）</w:t>
      </w:r>
      <w:r>
        <w:rPr>
          <w:rFonts w:hint="eastAsia" w:cs="Times New Roman" w:asciiTheme="minorEastAsia" w:hAnsiTheme="minorEastAsia"/>
          <w:szCs w:val="21"/>
        </w:rPr>
        <w:t>与国（境）外</w:t>
      </w:r>
      <w:r>
        <w:rPr>
          <w:rFonts w:cs="Times New Roman" w:asciiTheme="minorEastAsia" w:hAnsiTheme="minorEastAsia"/>
          <w:szCs w:val="21"/>
        </w:rPr>
        <w:t>联合培养；</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3</w:t>
      </w:r>
      <w:r>
        <w:rPr>
          <w:rFonts w:cs="Times New Roman" w:asciiTheme="minorEastAsia" w:hAnsiTheme="minorEastAsia"/>
          <w:szCs w:val="21"/>
        </w:rPr>
        <w:t>）</w:t>
      </w:r>
      <w:r>
        <w:rPr>
          <w:rFonts w:hint="eastAsia" w:cs="Times New Roman" w:asciiTheme="minorEastAsia" w:hAnsiTheme="minorEastAsia"/>
          <w:szCs w:val="21"/>
        </w:rPr>
        <w:t>国（境）外</w:t>
      </w:r>
      <w:r>
        <w:rPr>
          <w:rFonts w:cs="Times New Roman" w:asciiTheme="minorEastAsia" w:hAnsiTheme="minorEastAsia"/>
          <w:szCs w:val="21"/>
        </w:rPr>
        <w:t>短期出</w:t>
      </w:r>
      <w:r>
        <w:rPr>
          <w:rFonts w:hint="eastAsia" w:cs="Times New Roman" w:asciiTheme="minorEastAsia" w:hAnsiTheme="minorEastAsia"/>
          <w:szCs w:val="21"/>
        </w:rPr>
        <w:t>访、国际组织实习（三个月以上）；</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4</w:t>
      </w:r>
      <w:r>
        <w:rPr>
          <w:rFonts w:cs="Times New Roman" w:asciiTheme="minorEastAsia" w:hAnsiTheme="minorEastAsia"/>
          <w:szCs w:val="21"/>
        </w:rPr>
        <w:t>）国内外举办的</w:t>
      </w:r>
      <w:r>
        <w:rPr>
          <w:rFonts w:hint="eastAsia" w:cs="Times New Roman" w:asciiTheme="minorEastAsia" w:hAnsiTheme="minorEastAsia"/>
          <w:szCs w:val="21"/>
        </w:rPr>
        <w:t>高水平</w:t>
      </w:r>
      <w:r>
        <w:rPr>
          <w:rFonts w:cs="Times New Roman" w:asciiTheme="minorEastAsia" w:hAnsiTheme="minorEastAsia"/>
          <w:szCs w:val="21"/>
        </w:rPr>
        <w:t>国际</w:t>
      </w:r>
      <w:r>
        <w:rPr>
          <w:rFonts w:hint="eastAsia" w:cs="Times New Roman" w:asciiTheme="minorEastAsia" w:hAnsiTheme="minorEastAsia"/>
          <w:szCs w:val="21"/>
        </w:rPr>
        <w:t>学术</w:t>
      </w:r>
      <w:r>
        <w:rPr>
          <w:rFonts w:cs="Times New Roman" w:asciiTheme="minorEastAsia" w:hAnsiTheme="minorEastAsia"/>
          <w:szCs w:val="21"/>
        </w:rPr>
        <w:t>会议（参加、投稿被书面收录、壁报、小组发言、大会发言，均被认可，但需提供详细的书面证明邀请信、参会照片、收录节选、壁报展示及照片、小组发言或大会发言照片等）；</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5</w:t>
      </w:r>
      <w:r>
        <w:rPr>
          <w:rFonts w:ascii="Times New Roman" w:hAnsi="Times New Roman" w:cs="Times New Roman"/>
          <w:szCs w:val="21"/>
        </w:rPr>
        <w:t>）</w:t>
      </w:r>
      <w:r>
        <w:rPr>
          <w:rFonts w:hint="eastAsia" w:cs="Times New Roman" w:asciiTheme="minorEastAsia" w:hAnsiTheme="minorEastAsia"/>
          <w:szCs w:val="21"/>
        </w:rPr>
        <w:t>选修国外高校全英文在线课程（</w:t>
      </w:r>
      <w:r>
        <w:rPr>
          <w:rFonts w:hint="eastAsia" w:ascii="Times New Roman" w:hAnsi="Times New Roman" w:cs="Times New Roman"/>
          <w:szCs w:val="21"/>
        </w:rPr>
        <w:t>MOOC</w:t>
      </w:r>
      <w:r>
        <w:rPr>
          <w:rFonts w:hint="eastAsia" w:cs="Times New Roman" w:asciiTheme="minorEastAsia" w:hAnsiTheme="minorEastAsia"/>
          <w:szCs w:val="21"/>
        </w:rPr>
        <w:t>），并取得合格证书；</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6</w:t>
      </w:r>
      <w:r>
        <w:rPr>
          <w:rFonts w:cs="Times New Roman" w:asciiTheme="minorEastAsia" w:hAnsiTheme="minorEastAsia"/>
          <w:szCs w:val="21"/>
        </w:rPr>
        <w:t>）</w:t>
      </w:r>
      <w:r>
        <w:rPr>
          <w:rFonts w:hint="eastAsia" w:cs="Times New Roman" w:asciiTheme="minorEastAsia" w:hAnsiTheme="minorEastAsia"/>
          <w:szCs w:val="21"/>
        </w:rPr>
        <w:t>参加国际专业竞赛并获奖。</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6．文献</w:t>
      </w:r>
      <w:r>
        <w:rPr>
          <w:rFonts w:ascii="Times New Roman" w:hAnsi="Times New Roman" w:eastAsia="宋体" w:cs="Times New Roman"/>
          <w:b/>
          <w:bCs/>
          <w:szCs w:val="21"/>
        </w:rPr>
        <w:t>阅读</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博士研究生</w:t>
      </w:r>
      <w:r>
        <w:rPr>
          <w:rFonts w:ascii="Times New Roman" w:hAnsi="Times New Roman" w:eastAsia="宋体" w:cs="Times New Roman"/>
          <w:szCs w:val="21"/>
        </w:rPr>
        <w:t>在第</w:t>
      </w:r>
      <w:r>
        <w:rPr>
          <w:rFonts w:hint="eastAsia" w:ascii="Times New Roman" w:hAnsi="Times New Roman" w:eastAsia="宋体" w:cs="Times New Roman"/>
          <w:szCs w:val="21"/>
        </w:rPr>
        <w:t>三</w:t>
      </w:r>
      <w:r>
        <w:rPr>
          <w:rFonts w:ascii="Times New Roman" w:hAnsi="Times New Roman" w:eastAsia="宋体" w:cs="Times New Roman"/>
          <w:szCs w:val="21"/>
        </w:rPr>
        <w:t>学</w:t>
      </w:r>
      <w:r>
        <w:rPr>
          <w:rFonts w:hint="eastAsia" w:ascii="Times New Roman" w:hAnsi="Times New Roman" w:eastAsia="宋体" w:cs="Times New Roman"/>
          <w:szCs w:val="21"/>
        </w:rPr>
        <w:t>期</w:t>
      </w:r>
      <w:r>
        <w:rPr>
          <w:rFonts w:ascii="Times New Roman" w:hAnsi="Times New Roman" w:eastAsia="宋体" w:cs="Times New Roman"/>
          <w:szCs w:val="21"/>
        </w:rPr>
        <w:t>完成</w:t>
      </w:r>
      <w:r>
        <w:rPr>
          <w:rFonts w:hint="eastAsia" w:ascii="Times New Roman" w:hAnsi="Times New Roman" w:eastAsia="宋体" w:cs="Times New Roman"/>
          <w:szCs w:val="21"/>
        </w:rPr>
        <w:t>文献阅读</w:t>
      </w:r>
      <w:r>
        <w:rPr>
          <w:rFonts w:ascii="Times New Roman" w:hAnsi="Times New Roman" w:eastAsia="宋体" w:cs="Times New Roman"/>
          <w:szCs w:val="21"/>
        </w:rPr>
        <w:t>考核</w:t>
      </w:r>
      <w:r>
        <w:rPr>
          <w:rFonts w:hint="eastAsia" w:ascii="Times New Roman" w:hAnsi="Times New Roman" w:eastAsia="宋体" w:cs="Times New Roman"/>
          <w:szCs w:val="21"/>
        </w:rPr>
        <w:t>。</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文献阅读是引领研究生特别是博士生夯实学术根基、迅速进入学科专业研究领域和培养研究生科研素养的重要手段，是课程知识扩展和补充的重要方式。学生入学后</w:t>
      </w:r>
      <w:r>
        <w:rPr>
          <w:rFonts w:ascii="Times New Roman" w:hAnsi="Times New Roman" w:eastAsia="宋体" w:cs="Times New Roman"/>
          <w:szCs w:val="21"/>
        </w:rPr>
        <w:t>结合学科发展和论文研究方向，在导师指导下阅读国内外文献资料。</w:t>
      </w:r>
      <w:r>
        <w:rPr>
          <w:rFonts w:hint="eastAsia" w:ascii="Times New Roman" w:hAnsi="Times New Roman" w:eastAsia="宋体" w:cs="Times New Roman"/>
          <w:szCs w:val="21"/>
        </w:rPr>
        <w:t>考核形式采用提交文献综述形式（要求字数不少于</w:t>
      </w:r>
      <w:r>
        <w:rPr>
          <w:rFonts w:ascii="Times New Roman" w:hAnsi="Times New Roman" w:eastAsia="宋体" w:cs="Times New Roman"/>
          <w:szCs w:val="21"/>
        </w:rPr>
        <w:t>5000</w:t>
      </w:r>
      <w:r>
        <w:rPr>
          <w:rFonts w:hint="eastAsia" w:ascii="Times New Roman" w:hAnsi="Times New Roman" w:eastAsia="宋体" w:cs="Times New Roman"/>
          <w:szCs w:val="21"/>
        </w:rPr>
        <w:t>字，参考文献应包含中文文献和外文文献，综述文献不少于</w:t>
      </w:r>
      <w:r>
        <w:rPr>
          <w:rFonts w:ascii="Times New Roman" w:hAnsi="Times New Roman" w:eastAsia="宋体" w:cs="Times New Roman"/>
          <w:szCs w:val="21"/>
        </w:rPr>
        <w:t>60</w:t>
      </w:r>
      <w:r>
        <w:rPr>
          <w:rFonts w:hint="eastAsia" w:ascii="Times New Roman" w:hAnsi="Times New Roman" w:eastAsia="宋体" w:cs="Times New Roman"/>
          <w:szCs w:val="21"/>
        </w:rPr>
        <w:t>篇），导师签字确认后提交，学院组织评审专家对综述报告的选题、格式、内容以及书面表达能力等进行评审，审核通过者，记</w:t>
      </w:r>
      <w:r>
        <w:rPr>
          <w:rFonts w:ascii="Times New Roman" w:hAnsi="Times New Roman" w:eastAsia="宋体" w:cs="Times New Roman"/>
          <w:szCs w:val="21"/>
        </w:rPr>
        <w:t>2</w:t>
      </w:r>
      <w:r>
        <w:rPr>
          <w:rFonts w:hint="eastAsia" w:ascii="Times New Roman" w:hAnsi="Times New Roman" w:eastAsia="宋体" w:cs="Times New Roman"/>
          <w:szCs w:val="21"/>
        </w:rPr>
        <w:t>学分。审核未通过者，按照专家审核意见完成修改后提交学院进行二次评审。经两次审核都未通过者，不记入学分。考核工作由医学部各学院统一安排。</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文献阅读考核需在博士生中期考核前完成考核。</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7</w:t>
      </w:r>
      <w:r>
        <w:rPr>
          <w:rFonts w:hint="eastAsia" w:ascii="Times New Roman" w:hAnsi="Times New Roman" w:eastAsia="宋体" w:cs="Times New Roman"/>
          <w:b/>
          <w:bCs/>
          <w:szCs w:val="21"/>
        </w:rPr>
        <w:t>．</w:t>
      </w:r>
      <w:r>
        <w:rPr>
          <w:rFonts w:ascii="Times New Roman" w:hAnsi="Times New Roman" w:eastAsia="宋体" w:cs="Times New Roman"/>
          <w:b/>
          <w:bCs/>
          <w:szCs w:val="21"/>
        </w:rPr>
        <w:t>开题报告</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硕博连读生，硕士阶段第二学年内完成博士资格考核，在进入博士阶段第一学年内完成开题报告；直博生，在第二学年内完成开题报告。</w:t>
      </w:r>
      <w:r>
        <w:rPr>
          <w:rFonts w:hint="eastAsia" w:cs="Times New Roman" w:asciiTheme="minorEastAsia" w:hAnsiTheme="minorEastAsia"/>
          <w:szCs w:val="21"/>
        </w:rPr>
        <w:t>具体时间由导师或院系决定，并上报学院（系）教学管理部门备案。从开题报告通过至申请论文答辩的时间一般不少于一年。开题报告由医学部各学院（系）组织，应以学术活动的形式在学院（系）内公开进行，并邀请相关教师和研究生参加。各学院（系）邀请本学院督导列席旁听并打分。开题报告评审专家小组由3-5名校内外博士生导师组成（导师及导师团队成员为主体）。考查内容包括：文献综述、选题意义与科学依据、研究基础、研究内容与计划、工作难点及特色、预期成果以及可能产生的创新点、论文选题与学科的匹配度等。经评审通过的开题报告，须以书面形式交医学部人才培养处审核备案。</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8</w:t>
      </w:r>
      <w:r>
        <w:rPr>
          <w:rFonts w:hint="eastAsia" w:ascii="Times New Roman" w:hAnsi="Times New Roman" w:eastAsia="宋体" w:cs="Times New Roman"/>
          <w:b/>
          <w:bCs/>
          <w:szCs w:val="21"/>
        </w:rPr>
        <w:t>．</w:t>
      </w:r>
      <w:r>
        <w:rPr>
          <w:rFonts w:ascii="Times New Roman" w:hAnsi="Times New Roman" w:eastAsia="宋体" w:cs="Times New Roman"/>
          <w:b/>
          <w:bCs/>
          <w:szCs w:val="21"/>
        </w:rPr>
        <w:t>中期考核</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中期考核一般安排在第四学期（贯通培养研究生转为博士生培养后可在第三学期，以直攻博方式进入贯通式培养体系的学生，自第三学年起至第四学年末完成中期考核）进行。中期考核由院系组织，应以学术活动的形式公开进行，考核小组由5-7名本学科或相关学科博士生导师组成。中期考核内容包括：学科基础综合考试（含学科基础文献集阅读）、业务表现与论文工作进展、论文选题与学科的匹配度、综合能力等方面。研究生提交由导师签字的课程成绩、课题研究进展报告等书面材料后，方可参加中期考核。中期考核所有评审材料，须在医学部人才培养处审核备案。</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博士研究生应按时参加中期考核，如有特殊情况需延期参加，须本人申请并获得批准后参加补考核，具体时间由医学部人才培养处确定。</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中期考核具体要求参照《西安交通大学关于博士研究生中期考核的若干规定》（西交研〔2014〕25号）执行。</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研究生的开题报告和中期报告中应包含实验安全风险评估的内容。</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9</w:t>
      </w:r>
      <w:r>
        <w:rPr>
          <w:rFonts w:hint="eastAsia" w:ascii="Times New Roman" w:hAnsi="Times New Roman" w:eastAsia="宋体" w:cs="Times New Roman"/>
          <w:b/>
          <w:bCs/>
          <w:szCs w:val="21"/>
        </w:rPr>
        <w:t>．</w:t>
      </w:r>
      <w:r>
        <w:rPr>
          <w:rFonts w:ascii="Times New Roman" w:hAnsi="Times New Roman" w:eastAsia="宋体" w:cs="Times New Roman"/>
          <w:b/>
          <w:bCs/>
          <w:szCs w:val="21"/>
        </w:rPr>
        <w:t>最终学术报告（预答辩）</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硕博贯通研究生完成学位论文后，须在医学部或医学部各院（系）范围内进行公开预答辩，报告自己的研究成果。预答辩专家组由5名本学科或相关学科专家组成，其中至少3人为博士生导师。各学院（系）邀请本学院督导或相关学科专家列席旁听。在预答辩中，须严格审查论文选题的前沿性、理论及现实意义，学位论文是否有独立见解，学位论文的工作量，研究工作的系统性、完整性，论文选题与学科的匹配度等。</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对预答辩中提出的问题，研究生应认真修改与补充，填写修改说明表，经导师签字同意并报预答辩专家组组长签字同意后，方可进入论文评阅、答辩环节。对于未获得通过的学位论文，博士研究生应修改后重新进行预答辩。</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对于未获得通过和</w:t>
      </w:r>
      <w:r>
        <w:rPr>
          <w:rFonts w:cs="Times New Roman" w:asciiTheme="minorEastAsia" w:hAnsiTheme="minorEastAsia"/>
          <w:szCs w:val="21"/>
        </w:rPr>
        <w:t>问题较多的学位论文要经过研究生修改后重新组织预答辩。</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预答辩具体参照《西安交通大学学位授予工作暂行办法》（西交研〔2003〕14号）执行。</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cs="Times New Roman" w:asciiTheme="minorEastAsia" w:hAnsiTheme="minorEastAsia"/>
          <w:b/>
          <w:bCs/>
          <w:szCs w:val="21"/>
        </w:rPr>
      </w:pPr>
      <w:r>
        <w:rPr>
          <w:rFonts w:cs="Times New Roman" w:asciiTheme="minorEastAsia" w:hAnsiTheme="minorEastAsia"/>
          <w:b/>
          <w:bCs/>
          <w:szCs w:val="21"/>
        </w:rPr>
        <w:t>10.体育、美育、劳动教育</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研究生依据当年的体育、美育、劳动教育研修指南，结合个人兴趣爱好和培养计划安排，制定个人体育、美育、劳动教育环节研修计划并开展研修，由体育、美育、劳动教育牵头单位对环节是否“通过”给予认定。</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11</w:t>
      </w:r>
      <w:r>
        <w:rPr>
          <w:rFonts w:hint="eastAsia" w:ascii="Times New Roman" w:hAnsi="Times New Roman" w:eastAsia="宋体" w:cs="Times New Roman"/>
          <w:b/>
          <w:bCs/>
          <w:szCs w:val="21"/>
        </w:rPr>
        <w:t>．</w:t>
      </w:r>
      <w:r>
        <w:rPr>
          <w:rFonts w:ascii="Times New Roman" w:hAnsi="Times New Roman" w:eastAsia="宋体" w:cs="Times New Roman"/>
          <w:b/>
          <w:bCs/>
          <w:szCs w:val="21"/>
        </w:rPr>
        <w:t>学术论文</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硕博贯通研究生</w:t>
      </w:r>
      <w:r>
        <w:rPr>
          <w:rFonts w:cs="Times New Roman" w:asciiTheme="minorEastAsia" w:hAnsiTheme="minorEastAsia"/>
          <w:szCs w:val="21"/>
        </w:rPr>
        <w:t>应在导师的指导下，根据研究方向确定研究课题，课题需结合国民经济发展需求和学科发展趋势，具有前瞻性和理论价值，达到本学科前沿，博士研究生应独立完成具有一定学术水平和价值的学位论文。论文答辩</w:t>
      </w:r>
      <w:r>
        <w:rPr>
          <w:rFonts w:hint="eastAsia" w:cs="Times New Roman" w:asciiTheme="minorEastAsia" w:hAnsiTheme="minorEastAsia"/>
          <w:szCs w:val="21"/>
        </w:rPr>
        <w:t>具体参照</w:t>
      </w:r>
      <w:r>
        <w:rPr>
          <w:rFonts w:cs="Times New Roman" w:asciiTheme="minorEastAsia" w:hAnsiTheme="minorEastAsia"/>
          <w:szCs w:val="21"/>
        </w:rPr>
        <w:t>《西安交通大学学位授予工作暂行办法》（西交研〔2003〕14号）执行。</w:t>
      </w:r>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r>
        <w:rPr>
          <w:rFonts w:hint="eastAsia" w:ascii="黑体" w:hAnsi="黑体" w:eastAsia="黑体"/>
          <w:sz w:val="24"/>
          <w:szCs w:val="24"/>
        </w:rPr>
        <w:t>七</w:t>
      </w:r>
      <w:r>
        <w:rPr>
          <w:rFonts w:ascii="黑体" w:hAnsi="黑体" w:eastAsia="黑体"/>
          <w:sz w:val="24"/>
          <w:szCs w:val="24"/>
        </w:rPr>
        <w:t>、分流机制</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bCs/>
          <w:szCs w:val="21"/>
        </w:rPr>
      </w:pPr>
      <w:r>
        <w:rPr>
          <w:rFonts w:cs="Times New Roman" w:asciiTheme="minorEastAsia" w:hAnsiTheme="minorEastAsia"/>
          <w:bCs/>
          <w:szCs w:val="21"/>
        </w:rPr>
        <w:t>硕博连读生未通过博士资格考核或审核的，按硕士研究生进行培养，最长年限为三学年；直博生未通过博士中期考核或因其他原因需停止按博士培养而转回硕士培养的，需在半年之内完成硕士培养要求，申请硕士毕业和学位。</w:t>
      </w:r>
    </w:p>
    <w:p>
      <w:pPr>
        <w:keepNext w:val="0"/>
        <w:keepLines w:val="0"/>
        <w:pageBreakBefore w:val="0"/>
        <w:widowControl w:val="0"/>
        <w:kinsoku/>
        <w:wordWrap/>
        <w:overflowPunct/>
        <w:topLinePunct w:val="0"/>
        <w:autoSpaceDE/>
        <w:autoSpaceDN/>
        <w:bidi w:val="0"/>
        <w:spacing w:before="120" w:beforeLines="50" w:after="120" w:afterLines="50" w:line="300" w:lineRule="auto"/>
        <w:ind w:firstLine="420" w:firstLineChars="200"/>
        <w:textAlignment w:val="auto"/>
        <w:rPr>
          <w:rFonts w:cs="Times New Roman" w:asciiTheme="minorEastAsia" w:hAnsiTheme="minorEastAsia"/>
          <w:szCs w:val="21"/>
        </w:rPr>
      </w:pPr>
      <w:r>
        <w:rPr>
          <w:rFonts w:cs="Times New Roman" w:asciiTheme="minorEastAsia" w:hAnsiTheme="minorEastAsia"/>
          <w:bCs/>
          <w:szCs w:val="21"/>
        </w:rPr>
        <w:t>硕博贯通研究生申请硕士学位的</w:t>
      </w:r>
      <w:r>
        <w:rPr>
          <w:rFonts w:hint="eastAsia" w:cs="Times New Roman" w:asciiTheme="minorEastAsia" w:hAnsiTheme="minorEastAsia"/>
          <w:bCs/>
          <w:szCs w:val="21"/>
        </w:rPr>
        <w:t>需修满29学分</w:t>
      </w:r>
      <w:r>
        <w:rPr>
          <w:rFonts w:cs="Times New Roman" w:asciiTheme="minorEastAsia" w:hAnsiTheme="minorEastAsia"/>
          <w:bCs/>
          <w:szCs w:val="21"/>
        </w:rPr>
        <w:t>。</w:t>
      </w:r>
      <w:r>
        <w:rPr>
          <w:rFonts w:hint="eastAsia" w:cs="Times New Roman" w:asciiTheme="minorEastAsia" w:hAnsiTheme="minorEastAsia"/>
          <w:bCs/>
          <w:szCs w:val="21"/>
        </w:rPr>
        <w:t>其中课程学习23学分</w:t>
      </w:r>
      <w:r>
        <w:rPr>
          <w:rFonts w:cs="Times New Roman" w:asciiTheme="minorEastAsia" w:hAnsiTheme="minorEastAsia"/>
          <w:bCs/>
          <w:szCs w:val="21"/>
        </w:rPr>
        <w:t>、必修环节</w:t>
      </w:r>
      <w:r>
        <w:rPr>
          <w:rFonts w:hint="eastAsia" w:cs="Times New Roman" w:asciiTheme="minorEastAsia" w:hAnsiTheme="minorEastAsia"/>
          <w:bCs/>
          <w:szCs w:val="21"/>
        </w:rPr>
        <w:t>6学分。</w:t>
      </w:r>
    </w:p>
    <w:p>
      <w:pPr>
        <w:spacing w:before="360" w:after="360" w:line="286" w:lineRule="auto"/>
        <w:jc w:val="center"/>
        <w:rPr>
          <w:rFonts w:ascii="楷体_GB2312" w:hAnsi="Times New Roman" w:eastAsia="楷体_GB2312" w:cs="Times New Roman"/>
          <w:b/>
          <w:bCs/>
          <w:sz w:val="28"/>
          <w:szCs w:val="28"/>
        </w:rPr>
      </w:pPr>
      <w:r>
        <w:rPr>
          <w:rFonts w:hint="eastAsia" w:ascii="楷体_GB2312" w:hAnsi="Times New Roman" w:eastAsia="楷体_GB2312" w:cs="Times New Roman"/>
          <w:b/>
          <w:bCs/>
          <w:sz w:val="28"/>
          <w:szCs w:val="28"/>
        </w:rPr>
        <w:t>★</w:t>
      </w:r>
      <w:r>
        <w:rPr>
          <w:rFonts w:ascii="楷体_GB2312" w:hAnsi="Times New Roman" w:eastAsia="楷体_GB2312" w:cs="Times New Roman"/>
          <w:b/>
          <w:bCs/>
          <w:sz w:val="28"/>
          <w:szCs w:val="28"/>
        </w:rPr>
        <w:t>公共卫生与预防医学（1004）硕</w:t>
      </w:r>
      <w:r>
        <w:rPr>
          <w:rFonts w:hint="eastAsia" w:ascii="楷体_GB2312" w:hAnsi="Times New Roman" w:eastAsia="楷体_GB2312" w:cs="Times New Roman"/>
          <w:b/>
          <w:bCs/>
          <w:sz w:val="28"/>
          <w:szCs w:val="28"/>
        </w:rPr>
        <w:t>士</w:t>
      </w:r>
      <w:r>
        <w:rPr>
          <w:rFonts w:ascii="楷体_GB2312" w:hAnsi="Times New Roman" w:eastAsia="楷体_GB2312" w:cs="Times New Roman"/>
          <w:b/>
          <w:bCs/>
          <w:sz w:val="28"/>
          <w:szCs w:val="28"/>
        </w:rPr>
        <w:t>博</w:t>
      </w:r>
      <w:r>
        <w:rPr>
          <w:rFonts w:hint="eastAsia" w:ascii="楷体_GB2312" w:hAnsi="Times New Roman" w:eastAsia="楷体_GB2312" w:cs="Times New Roman"/>
          <w:b/>
          <w:bCs/>
          <w:sz w:val="28"/>
          <w:szCs w:val="28"/>
        </w:rPr>
        <w:t>士</w:t>
      </w:r>
      <w:r>
        <w:rPr>
          <w:rFonts w:ascii="楷体_GB2312" w:hAnsi="Times New Roman" w:eastAsia="楷体_GB2312" w:cs="Times New Roman"/>
          <w:b/>
          <w:bCs/>
          <w:sz w:val="28"/>
          <w:szCs w:val="28"/>
        </w:rPr>
        <w:t>贯通式研究生培养方案</w:t>
      </w:r>
      <w:bookmarkEnd w:id="412"/>
      <w:bookmarkEnd w:id="413"/>
      <w:bookmarkEnd w:id="414"/>
      <w:bookmarkEnd w:id="415"/>
      <w:bookmarkEnd w:id="416"/>
      <w:bookmarkEnd w:id="417"/>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bookmarkStart w:id="418" w:name="_Toc422842517"/>
      <w:bookmarkStart w:id="419" w:name="_Toc392837616"/>
      <w:bookmarkStart w:id="420" w:name="_Toc392086458"/>
      <w:bookmarkStart w:id="421" w:name="_Toc393120860"/>
      <w:bookmarkStart w:id="422" w:name="_Toc423012042"/>
      <w:bookmarkStart w:id="423" w:name="_Toc519846453"/>
      <w:bookmarkStart w:id="424" w:name="_Toc422409389"/>
      <w:bookmarkStart w:id="425" w:name="_Toc392774741"/>
      <w:bookmarkStart w:id="426" w:name="_Toc520822673"/>
      <w:bookmarkStart w:id="427" w:name="_Toc392664216"/>
      <w:bookmarkStart w:id="428" w:name="_Toc534657613"/>
      <w:bookmarkStart w:id="429" w:name="_Toc392579537"/>
      <w:bookmarkStart w:id="430" w:name="_Toc422988841"/>
      <w:bookmarkStart w:id="431" w:name="_Toc393211245"/>
      <w:bookmarkStart w:id="432" w:name="_Toc392596097"/>
      <w:bookmarkStart w:id="433" w:name="_Toc534577282"/>
      <w:bookmarkStart w:id="434" w:name="_Toc393276267"/>
      <w:r>
        <w:rPr>
          <w:rFonts w:ascii="黑体" w:hAnsi="黑体" w:eastAsia="黑体"/>
          <w:sz w:val="24"/>
          <w:szCs w:val="24"/>
        </w:rPr>
        <w:t>一、培养目标</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cs="Times New Roman"/>
          <w:szCs w:val="21"/>
        </w:rPr>
      </w:pPr>
      <w:r>
        <w:rPr>
          <w:rFonts w:hint="eastAsia" w:ascii="Times New Roman" w:hAnsi="Times New Roman" w:cs="Times New Roman"/>
          <w:szCs w:val="21"/>
        </w:rPr>
        <w:t>秉承“扎根西部、服务国家、区域引领、世界一流”的办学定位，公共卫生与预防医学</w:t>
      </w:r>
      <w:r>
        <w:rPr>
          <w:rFonts w:ascii="Times New Roman" w:hAnsi="Times New Roman" w:cs="Times New Roman"/>
          <w:szCs w:val="21"/>
        </w:rPr>
        <w:t>硕博贯通式</w:t>
      </w:r>
      <w:r>
        <w:rPr>
          <w:rFonts w:hint="eastAsia" w:ascii="Times New Roman" w:hAnsi="Times New Roman" w:cs="Times New Roman"/>
          <w:szCs w:val="21"/>
        </w:rPr>
        <w:t>研究生生培养目标为：以科研创新能力培养为主，坚持德智体美劳全面发展，培养造就具有强烈社会责任感的公共卫生与预防医学研究领域德才兼备的高层次创新型人才。</w:t>
      </w:r>
      <w:r>
        <w:rPr>
          <w:rFonts w:ascii="Times New Roman" w:hAnsi="Times New Roman" w:cs="Times New Roman"/>
          <w:szCs w:val="21"/>
        </w:rPr>
        <w:t>具体要求是：</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掌握马克思主义基本原理，学习和贯彻习近平新时代中国特色社会主义思想和系列重要讲话精神，坚定道路自信、理论自信、制度自信、文化自信。热爱祖国，</w:t>
      </w:r>
      <w:r>
        <w:rPr>
          <w:rFonts w:ascii="Times New Roman" w:hAnsi="Times New Roman" w:cs="Times New Roman"/>
          <w:szCs w:val="21"/>
        </w:rPr>
        <w:t>遵纪守法</w:t>
      </w:r>
      <w:r>
        <w:rPr>
          <w:rFonts w:hint="eastAsia" w:ascii="Times New Roman" w:hAnsi="Times New Roman" w:cs="Times New Roman"/>
          <w:szCs w:val="21"/>
        </w:rPr>
        <w:t>，</w:t>
      </w:r>
      <w:r>
        <w:rPr>
          <w:rFonts w:ascii="Times New Roman" w:hAnsi="Times New Roman" w:cs="Times New Roman"/>
          <w:szCs w:val="21"/>
        </w:rPr>
        <w:t>品德</w:t>
      </w:r>
      <w:r>
        <w:rPr>
          <w:rFonts w:hint="eastAsia" w:ascii="Times New Roman" w:hAnsi="Times New Roman" w:cs="Times New Roman"/>
          <w:szCs w:val="21"/>
        </w:rPr>
        <w:t>优</w:t>
      </w:r>
      <w:r>
        <w:rPr>
          <w:rFonts w:ascii="Times New Roman" w:hAnsi="Times New Roman" w:cs="Times New Roman"/>
          <w:szCs w:val="21"/>
        </w:rPr>
        <w:t>良，治学严谨，</w:t>
      </w:r>
      <w:r>
        <w:rPr>
          <w:rFonts w:hint="eastAsia" w:ascii="Times New Roman" w:hAnsi="Times New Roman" w:cs="Times New Roman"/>
          <w:szCs w:val="21"/>
        </w:rPr>
        <w:t>学风端正，</w:t>
      </w:r>
      <w:r>
        <w:rPr>
          <w:rFonts w:ascii="Times New Roman" w:hAnsi="Times New Roman" w:cs="Times New Roman"/>
          <w:szCs w:val="21"/>
        </w:rPr>
        <w:t>有献身于科学研究的强烈事业心和创新精神</w:t>
      </w:r>
      <w:r>
        <w:rPr>
          <w:rFonts w:hint="eastAsia" w:ascii="Times New Roman" w:hAnsi="Times New Roman" w:cs="Times New Roman"/>
          <w:szCs w:val="21"/>
        </w:rPr>
        <w:t>。</w:t>
      </w:r>
      <w:r>
        <w:rPr>
          <w:rFonts w:ascii="Times New Roman" w:hAnsi="Times New Roman" w:cs="Times New Roman"/>
          <w:szCs w:val="21"/>
        </w:rPr>
        <w:t>具有健康的体魄和良好的心理素质</w:t>
      </w:r>
      <w:r>
        <w:rPr>
          <w:rFonts w:hint="eastAsia" w:ascii="Times New Roman" w:hAnsi="Times New Roman" w:cs="Times New Roman"/>
          <w:szCs w:val="21"/>
        </w:rPr>
        <w:t>，愿积极为祖国公共卫生事业发展贡献自己的才智</w:t>
      </w:r>
      <w:r>
        <w:rPr>
          <w:rFonts w:ascii="Times New Roman" w:hAnsi="Times New Roman" w:cs="Times New Roman"/>
          <w:szCs w:val="21"/>
        </w:rPr>
        <w:t>。</w:t>
      </w:r>
    </w:p>
    <w:p>
      <w:pPr>
        <w:keepNext w:val="0"/>
        <w:keepLines w:val="0"/>
        <w:pageBreakBefore w:val="0"/>
        <w:widowControl w:val="0"/>
        <w:kinsoku/>
        <w:wordWrap/>
        <w:overflowPunct/>
        <w:topLinePunct w:val="0"/>
        <w:autoSpaceDE/>
        <w:autoSpaceDN/>
        <w:bidi w:val="0"/>
        <w:spacing w:line="300" w:lineRule="auto"/>
        <w:ind w:firstLine="435"/>
        <w:textAlignment w:val="auto"/>
        <w:rPr>
          <w:rFonts w:cs="Times New Roman" w:asciiTheme="minorEastAsia" w:hAnsiTheme="minorEastAsia"/>
          <w:szCs w:val="21"/>
        </w:rPr>
      </w:pPr>
      <w:r>
        <w:rPr>
          <w:rFonts w:ascii="Times New Roman" w:hAnsi="Times New Roman" w:cs="Times New Roman"/>
          <w:szCs w:val="21"/>
        </w:rPr>
        <w:t>2．具有扎实的基础理论，掌握</w:t>
      </w:r>
      <w:r>
        <w:rPr>
          <w:rFonts w:hint="eastAsia" w:ascii="Times New Roman" w:hAnsi="Times New Roman" w:cs="Times New Roman"/>
          <w:szCs w:val="21"/>
        </w:rPr>
        <w:t>本学科的</w:t>
      </w:r>
      <w:r>
        <w:rPr>
          <w:rFonts w:ascii="Times New Roman" w:hAnsi="Times New Roman" w:cs="Times New Roman"/>
          <w:szCs w:val="21"/>
        </w:rPr>
        <w:t>专业</w:t>
      </w:r>
      <w:r>
        <w:rPr>
          <w:rFonts w:hint="eastAsia" w:ascii="Times New Roman" w:hAnsi="Times New Roman" w:cs="Times New Roman"/>
          <w:szCs w:val="21"/>
        </w:rPr>
        <w:t>基本</w:t>
      </w:r>
      <w:r>
        <w:rPr>
          <w:rFonts w:ascii="Times New Roman" w:hAnsi="Times New Roman" w:cs="Times New Roman"/>
          <w:szCs w:val="21"/>
        </w:rPr>
        <w:t>知识和</w:t>
      </w:r>
      <w:r>
        <w:rPr>
          <w:rFonts w:hint="eastAsia" w:ascii="Times New Roman" w:hAnsi="Times New Roman" w:cs="Times New Roman"/>
          <w:szCs w:val="21"/>
        </w:rPr>
        <w:t>基本技能。</w:t>
      </w:r>
      <w:r>
        <w:rPr>
          <w:rFonts w:ascii="Times New Roman" w:hAnsi="Times New Roman" w:cs="Times New Roman"/>
          <w:szCs w:val="21"/>
        </w:rPr>
        <w:t>能熟练应用各种</w:t>
      </w:r>
      <w:r>
        <w:rPr>
          <w:rFonts w:hint="eastAsia" w:ascii="Times New Roman" w:hAnsi="Times New Roman" w:cs="Times New Roman"/>
          <w:szCs w:val="21"/>
        </w:rPr>
        <w:t>医学相关</w:t>
      </w:r>
      <w:r>
        <w:rPr>
          <w:rFonts w:ascii="Times New Roman" w:hAnsi="Times New Roman" w:cs="Times New Roman"/>
          <w:szCs w:val="21"/>
        </w:rPr>
        <w:t>数据库</w:t>
      </w:r>
      <w:r>
        <w:rPr>
          <w:rFonts w:hint="eastAsia" w:ascii="Times New Roman" w:hAnsi="Times New Roman" w:cs="Times New Roman"/>
          <w:szCs w:val="21"/>
        </w:rPr>
        <w:t>，掌握医学</w:t>
      </w:r>
      <w:r>
        <w:rPr>
          <w:rFonts w:ascii="Times New Roman" w:hAnsi="Times New Roman" w:cs="Times New Roman"/>
          <w:szCs w:val="21"/>
        </w:rPr>
        <w:t>文献检索</w:t>
      </w:r>
      <w:r>
        <w:rPr>
          <w:rFonts w:hint="eastAsia" w:ascii="Times New Roman" w:hAnsi="Times New Roman" w:cs="Times New Roman"/>
          <w:szCs w:val="21"/>
        </w:rPr>
        <w:t>和管理。</w:t>
      </w:r>
      <w:r>
        <w:rPr>
          <w:rFonts w:ascii="Times New Roman" w:hAnsi="Times New Roman" w:cs="Times New Roman"/>
          <w:szCs w:val="21"/>
        </w:rPr>
        <w:t>能熟练地阅读本专业的外文资料，具有一定的</w:t>
      </w:r>
      <w:r>
        <w:rPr>
          <w:rFonts w:hint="eastAsia" w:ascii="Times New Roman" w:hAnsi="Times New Roman" w:cs="Times New Roman"/>
          <w:szCs w:val="21"/>
        </w:rPr>
        <w:t>外</w:t>
      </w:r>
      <w:r>
        <w:rPr>
          <w:rFonts w:ascii="Times New Roman" w:hAnsi="Times New Roman" w:cs="Times New Roman"/>
          <w:szCs w:val="21"/>
        </w:rPr>
        <w:t>文写作和口语交际能力</w:t>
      </w:r>
      <w:r>
        <w:rPr>
          <w:rFonts w:hint="eastAsia" w:ascii="Times New Roman" w:hAnsi="Times New Roman" w:cs="Times New Roman"/>
          <w:szCs w:val="21"/>
        </w:rPr>
        <w:t>。</w:t>
      </w:r>
      <w:r>
        <w:rPr>
          <w:rFonts w:cs="Times New Roman" w:asciiTheme="minorEastAsia" w:hAnsiTheme="minorEastAsia"/>
          <w:szCs w:val="21"/>
        </w:rPr>
        <w:t>具有一定</w:t>
      </w:r>
      <w:r>
        <w:rPr>
          <w:rFonts w:hint="eastAsia" w:cs="Times New Roman" w:asciiTheme="minorEastAsia" w:hAnsiTheme="minorEastAsia"/>
          <w:szCs w:val="21"/>
        </w:rPr>
        <w:t>的人文社会科学</w:t>
      </w:r>
      <w:r>
        <w:rPr>
          <w:rFonts w:cs="Times New Roman" w:asciiTheme="minorEastAsia" w:hAnsiTheme="minorEastAsia"/>
          <w:szCs w:val="21"/>
        </w:rPr>
        <w:t>基本知识。</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cs="Times New Roman"/>
          <w:szCs w:val="21"/>
        </w:rPr>
      </w:pPr>
      <w:r>
        <w:rPr>
          <w:rFonts w:ascii="Times New Roman" w:hAnsi="Times New Roman" w:cs="Times New Roman"/>
          <w:szCs w:val="21"/>
        </w:rPr>
        <w:t>3．</w:t>
      </w:r>
      <w:r>
        <w:rPr>
          <w:rFonts w:hint="eastAsia" w:ascii="Times New Roman" w:hAnsi="Times New Roman" w:cs="Times New Roman"/>
          <w:szCs w:val="21"/>
        </w:rPr>
        <w:t>具备主动获取知识的意识和能力，能综合运用公共卫生与预防医学理论知识和研究手段，开展科学研究。</w:t>
      </w:r>
      <w:r>
        <w:rPr>
          <w:rFonts w:cs="Times New Roman" w:asciiTheme="minorEastAsia" w:hAnsiTheme="minorEastAsia"/>
          <w:szCs w:val="21"/>
        </w:rPr>
        <w:t>具有</w:t>
      </w:r>
      <w:r>
        <w:rPr>
          <w:rFonts w:hint="eastAsia" w:cs="Times New Roman" w:asciiTheme="minorEastAsia" w:hAnsiTheme="minorEastAsia"/>
          <w:szCs w:val="21"/>
        </w:rPr>
        <w:t>科学</w:t>
      </w:r>
      <w:r>
        <w:rPr>
          <w:rFonts w:cs="Times New Roman" w:asciiTheme="minorEastAsia" w:hAnsiTheme="minorEastAsia"/>
          <w:szCs w:val="21"/>
        </w:rPr>
        <w:t>逻辑思维</w:t>
      </w:r>
      <w:r>
        <w:rPr>
          <w:rFonts w:hint="eastAsia" w:cs="Times New Roman" w:asciiTheme="minorEastAsia" w:hAnsiTheme="minorEastAsia"/>
          <w:szCs w:val="21"/>
        </w:rPr>
        <w:t>、批判思维和较高</w:t>
      </w:r>
      <w:r>
        <w:rPr>
          <w:rFonts w:cs="Times New Roman" w:asciiTheme="minorEastAsia" w:hAnsiTheme="minorEastAsia"/>
          <w:szCs w:val="21"/>
        </w:rPr>
        <w:t>的创新能力，</w:t>
      </w:r>
      <w:r>
        <w:rPr>
          <w:rFonts w:hint="eastAsia" w:ascii="Times New Roman" w:hAnsi="Times New Roman" w:cs="Times New Roman"/>
          <w:szCs w:val="21"/>
        </w:rPr>
        <w:t>能够独立从事公共卫生与预防医学及相关领域科学研究工作。具有较强的语言交流和文字表达能力。</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 xml:space="preserve">. </w:t>
      </w:r>
      <w:r>
        <w:rPr>
          <w:rFonts w:hint="eastAsia" w:ascii="Times New Roman" w:hAnsi="Times New Roman" w:cs="Times New Roman"/>
          <w:szCs w:val="21"/>
        </w:rPr>
        <w:t>具有强烈的社会责任感和良好的团队合作精神。能够运用其他学科的前沿知识和先进技术，开展公共卫生与预防医学交叉融合性的科学研究。具有较强管理沟通和教学能力，能够有效利用各种资源提高工作效率。</w:t>
      </w:r>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bookmarkStart w:id="435" w:name="_Toc519846454"/>
      <w:bookmarkStart w:id="436" w:name="_Toc422409390"/>
      <w:bookmarkStart w:id="437" w:name="_Toc392837617"/>
      <w:bookmarkStart w:id="438" w:name="_Toc422842518"/>
      <w:bookmarkStart w:id="439" w:name="_Toc392596098"/>
      <w:bookmarkStart w:id="440" w:name="_Toc534577283"/>
      <w:bookmarkStart w:id="441" w:name="_Toc393120861"/>
      <w:bookmarkStart w:id="442" w:name="_Toc423012043"/>
      <w:bookmarkStart w:id="443" w:name="_Toc392086459"/>
      <w:bookmarkStart w:id="444" w:name="_Toc392664217"/>
      <w:bookmarkStart w:id="445" w:name="_Toc393276268"/>
      <w:bookmarkStart w:id="446" w:name="_Toc422988842"/>
      <w:bookmarkStart w:id="447" w:name="_Toc393211246"/>
      <w:bookmarkStart w:id="448" w:name="_Toc392579538"/>
      <w:bookmarkStart w:id="449" w:name="_Toc520822674"/>
      <w:bookmarkStart w:id="450" w:name="_Toc392774742"/>
      <w:bookmarkStart w:id="451" w:name="_Toc534657614"/>
      <w:r>
        <w:rPr>
          <w:rFonts w:ascii="黑体" w:hAnsi="黑体" w:eastAsia="黑体"/>
          <w:sz w:val="24"/>
          <w:szCs w:val="24"/>
        </w:rPr>
        <w:t>二、研究方向</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bookmarkStart w:id="452" w:name="_Toc392664218"/>
      <w:bookmarkStart w:id="453" w:name="_Toc422988843"/>
      <w:bookmarkStart w:id="454" w:name="_Toc393211247"/>
      <w:bookmarkStart w:id="455" w:name="_Toc423012044"/>
      <w:bookmarkStart w:id="456" w:name="_Toc422842519"/>
      <w:bookmarkStart w:id="457" w:name="_Toc392596099"/>
      <w:bookmarkStart w:id="458" w:name="_Toc392086460"/>
      <w:bookmarkStart w:id="459" w:name="_Toc422409391"/>
      <w:bookmarkStart w:id="460" w:name="_Toc393276269"/>
      <w:bookmarkStart w:id="461" w:name="_Toc392579539"/>
      <w:bookmarkStart w:id="462" w:name="_Toc534577284"/>
      <w:bookmarkStart w:id="463" w:name="_Toc392837618"/>
      <w:bookmarkStart w:id="464" w:name="_Toc393120862"/>
      <w:bookmarkStart w:id="465" w:name="_Toc534657615"/>
      <w:bookmarkStart w:id="466" w:name="_Toc392774743"/>
      <w:r>
        <w:rPr>
          <w:rFonts w:ascii="Times New Roman" w:hAnsi="Times New Roman" w:cs="Times New Roman"/>
          <w:szCs w:val="21"/>
        </w:rPr>
        <w:t>1</w:t>
      </w:r>
      <w:r>
        <w:rPr>
          <w:rFonts w:ascii="Times New Roman" w:hAnsi="Times New Roman" w:eastAsia="宋体" w:cs="Times New Roman"/>
          <w:szCs w:val="21"/>
        </w:rPr>
        <w:t>．</w:t>
      </w:r>
      <w:r>
        <w:rPr>
          <w:rFonts w:cs="Times New Roman" w:asciiTheme="minorEastAsia" w:hAnsiTheme="minorEastAsia"/>
          <w:szCs w:val="21"/>
        </w:rPr>
        <w:t>流行病与卫生统计学；</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2</w:t>
      </w:r>
      <w:r>
        <w:rPr>
          <w:rFonts w:ascii="Times New Roman" w:hAnsi="Times New Roman" w:eastAsia="宋体" w:cs="Times New Roman"/>
          <w:szCs w:val="21"/>
        </w:rPr>
        <w:t>．</w:t>
      </w:r>
      <w:r>
        <w:rPr>
          <w:rFonts w:cs="Times New Roman" w:asciiTheme="minorEastAsia" w:hAnsiTheme="minorEastAsia"/>
          <w:szCs w:val="21"/>
        </w:rPr>
        <w:t>劳动卫生与环境卫生学；</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cs="Times New Roman"/>
          <w:szCs w:val="21"/>
        </w:rPr>
      </w:pPr>
      <w:r>
        <w:rPr>
          <w:rFonts w:ascii="Times New Roman" w:hAnsi="Times New Roman" w:cs="Times New Roman"/>
          <w:szCs w:val="21"/>
        </w:rPr>
        <w:t>3</w:t>
      </w:r>
      <w:r>
        <w:rPr>
          <w:rFonts w:ascii="Times New Roman" w:hAnsi="Times New Roman" w:eastAsia="宋体" w:cs="Times New Roman"/>
          <w:szCs w:val="21"/>
        </w:rPr>
        <w:t>．</w:t>
      </w:r>
      <w:r>
        <w:rPr>
          <w:rFonts w:ascii="Times New Roman" w:hAnsi="Times New Roman" w:cs="Times New Roman"/>
          <w:szCs w:val="21"/>
        </w:rPr>
        <w:t>营养与食品卫生学；</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4</w:t>
      </w:r>
      <w:r>
        <w:rPr>
          <w:rFonts w:ascii="Times New Roman" w:hAnsi="Times New Roman" w:eastAsia="宋体" w:cs="Times New Roman"/>
          <w:szCs w:val="21"/>
        </w:rPr>
        <w:t>．</w:t>
      </w:r>
      <w:r>
        <w:rPr>
          <w:rFonts w:cs="Times New Roman" w:asciiTheme="minorEastAsia" w:hAnsiTheme="minorEastAsia"/>
          <w:szCs w:val="21"/>
        </w:rPr>
        <w:t>儿少卫生与妇幼保健学；</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5</w:t>
      </w:r>
      <w:r>
        <w:rPr>
          <w:rFonts w:ascii="Times New Roman" w:hAnsi="Times New Roman" w:eastAsia="宋体" w:cs="Times New Roman"/>
          <w:szCs w:val="21"/>
        </w:rPr>
        <w:t>．</w:t>
      </w:r>
      <w:r>
        <w:rPr>
          <w:rFonts w:cs="Times New Roman" w:asciiTheme="minorEastAsia" w:hAnsiTheme="minorEastAsia"/>
          <w:szCs w:val="21"/>
        </w:rPr>
        <w:t>卫生毒理学</w:t>
      </w:r>
      <w:r>
        <w:rPr>
          <w:rFonts w:hint="eastAsia" w:cs="Times New Roman" w:asciiTheme="minorEastAsia" w:hAnsiTheme="minorEastAsia"/>
          <w:szCs w:val="21"/>
        </w:rPr>
        <w:t>；</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cs="Times New Roman"/>
          <w:szCs w:val="21"/>
        </w:rPr>
      </w:pPr>
      <w:r>
        <w:rPr>
          <w:rFonts w:hint="eastAsia" w:ascii="Times New Roman" w:hAnsi="Times New Roman" w:cs="Times New Roman"/>
          <w:szCs w:val="21"/>
        </w:rPr>
        <w:t>6</w:t>
      </w:r>
      <w:r>
        <w:rPr>
          <w:rFonts w:ascii="Times New Roman" w:hAnsi="Times New Roman" w:eastAsia="宋体" w:cs="Times New Roman"/>
          <w:szCs w:val="21"/>
        </w:rPr>
        <w:t>．</w:t>
      </w:r>
      <w:r>
        <w:rPr>
          <w:rFonts w:hint="eastAsia" w:ascii="Times New Roman" w:hAnsi="Times New Roman" w:cs="Times New Roman"/>
          <w:szCs w:val="21"/>
        </w:rPr>
        <w:t>人工智能与健康大数据</w:t>
      </w:r>
      <w:r>
        <w:rPr>
          <w:rFonts w:hint="eastAsia" w:ascii="Times New Roman" w:hAnsi="Times New Roman" w:eastAsia="宋体" w:cs="Times New Roman"/>
          <w:szCs w:val="21"/>
        </w:rPr>
        <w:t>(交叉)</w:t>
      </w:r>
      <w:r>
        <w:rPr>
          <w:rFonts w:hint="eastAsia" w:ascii="Times New Roman" w:hAnsi="Times New Roman" w:cs="Times New Roman"/>
          <w:szCs w:val="21"/>
        </w:rPr>
        <w:t>。</w:t>
      </w:r>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bookmarkStart w:id="467" w:name="_Toc519846455"/>
      <w:bookmarkStart w:id="468" w:name="_Toc520822675"/>
      <w:r>
        <w:rPr>
          <w:rFonts w:ascii="黑体" w:hAnsi="黑体" w:eastAsia="黑体"/>
          <w:sz w:val="24"/>
          <w:szCs w:val="24"/>
        </w:rPr>
        <w:t>三、学习年限</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bookmarkStart w:id="469" w:name="_Toc393211248"/>
      <w:bookmarkStart w:id="470" w:name="_Toc392664219"/>
      <w:bookmarkStart w:id="471" w:name="_Toc392596100"/>
      <w:bookmarkStart w:id="472" w:name="_Toc422988844"/>
      <w:bookmarkStart w:id="473" w:name="_Toc422409392"/>
      <w:bookmarkStart w:id="474" w:name="_Toc392774744"/>
      <w:bookmarkStart w:id="475" w:name="_Toc534657616"/>
      <w:bookmarkStart w:id="476" w:name="_Toc392579540"/>
      <w:bookmarkStart w:id="477" w:name="_Toc392837619"/>
      <w:bookmarkStart w:id="478" w:name="_Toc393120863"/>
      <w:bookmarkStart w:id="479" w:name="_Toc392086461"/>
      <w:bookmarkStart w:id="480" w:name="_Toc393276270"/>
      <w:bookmarkStart w:id="481" w:name="_Toc423012045"/>
      <w:bookmarkStart w:id="482" w:name="_Toc534577285"/>
      <w:bookmarkStart w:id="483" w:name="_Toc422842520"/>
      <w:r>
        <w:rPr>
          <w:rFonts w:cs="Times New Roman" w:asciiTheme="minorEastAsia" w:hAnsiTheme="minorEastAsia"/>
          <w:szCs w:val="21"/>
        </w:rPr>
        <w:t>以硕博连读方式进入贯通式培养体系的学生（以下简称</w:t>
      </w:r>
      <w:r>
        <w:rPr>
          <w:rFonts w:hint="eastAsia" w:cs="Times New Roman" w:asciiTheme="minorEastAsia" w:hAnsiTheme="minorEastAsia"/>
          <w:szCs w:val="21"/>
        </w:rPr>
        <w:t>“</w:t>
      </w:r>
      <w:r>
        <w:rPr>
          <w:rFonts w:cs="Times New Roman" w:asciiTheme="minorEastAsia" w:hAnsiTheme="minorEastAsia"/>
          <w:szCs w:val="21"/>
        </w:rPr>
        <w:t>硕博连读生</w:t>
      </w:r>
      <w:r>
        <w:rPr>
          <w:rFonts w:hint="eastAsia" w:cs="Times New Roman" w:asciiTheme="minorEastAsia" w:hAnsiTheme="minorEastAsia"/>
          <w:szCs w:val="21"/>
        </w:rPr>
        <w:t>”</w:t>
      </w:r>
      <w:r>
        <w:rPr>
          <w:rFonts w:cs="Times New Roman" w:asciiTheme="minorEastAsia" w:hAnsiTheme="minorEastAsia"/>
          <w:szCs w:val="21"/>
        </w:rPr>
        <w:t>），在博士培养阶段的学习年限为</w:t>
      </w:r>
      <w:r>
        <w:rPr>
          <w:rFonts w:ascii="Times New Roman" w:hAnsi="Times New Roman" w:cs="Times New Roman"/>
          <w:szCs w:val="21"/>
        </w:rPr>
        <w:t>3-5</w:t>
      </w:r>
      <w:r>
        <w:rPr>
          <w:rFonts w:cs="Times New Roman" w:asciiTheme="minorEastAsia" w:hAnsiTheme="minorEastAsia"/>
          <w:szCs w:val="21"/>
        </w:rPr>
        <w:t>年；以直攻博方式进入贯通式培养体系的学生（以下简称</w:t>
      </w:r>
      <w:r>
        <w:rPr>
          <w:rFonts w:hint="eastAsia" w:cs="Times New Roman" w:asciiTheme="minorEastAsia" w:hAnsiTheme="minorEastAsia"/>
          <w:szCs w:val="21"/>
        </w:rPr>
        <w:t>“</w:t>
      </w:r>
      <w:r>
        <w:rPr>
          <w:rFonts w:cs="Times New Roman" w:asciiTheme="minorEastAsia" w:hAnsiTheme="minorEastAsia"/>
          <w:szCs w:val="21"/>
        </w:rPr>
        <w:t>直博生</w:t>
      </w:r>
      <w:r>
        <w:rPr>
          <w:rFonts w:hint="eastAsia" w:cs="Times New Roman" w:asciiTheme="minorEastAsia" w:hAnsiTheme="minorEastAsia"/>
          <w:szCs w:val="21"/>
        </w:rPr>
        <w:t>”</w:t>
      </w:r>
      <w:r>
        <w:rPr>
          <w:rFonts w:cs="Times New Roman" w:asciiTheme="minorEastAsia" w:hAnsiTheme="minorEastAsia"/>
          <w:szCs w:val="21"/>
        </w:rPr>
        <w:t>），学习年限为</w:t>
      </w:r>
      <w:r>
        <w:rPr>
          <w:rFonts w:ascii="Times New Roman" w:hAnsi="Times New Roman" w:cs="Times New Roman"/>
          <w:szCs w:val="21"/>
        </w:rPr>
        <w:t>4-6</w:t>
      </w:r>
      <w:r>
        <w:rPr>
          <w:rFonts w:cs="Times New Roman" w:asciiTheme="minorEastAsia" w:hAnsiTheme="minorEastAsia"/>
          <w:szCs w:val="21"/>
        </w:rPr>
        <w:t>年。</w:t>
      </w:r>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bookmarkStart w:id="484" w:name="_Toc520822676"/>
      <w:bookmarkStart w:id="485" w:name="_Toc519846456"/>
      <w:r>
        <w:rPr>
          <w:rFonts w:ascii="黑体" w:hAnsi="黑体" w:eastAsia="黑体"/>
          <w:sz w:val="24"/>
          <w:szCs w:val="24"/>
        </w:rPr>
        <w:t>四、培养方式</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以立德树人为根本任务，实现硕博贯通的培养方式，具体的培养方式是：</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1</w:t>
      </w:r>
      <w:r>
        <w:rPr>
          <w:rFonts w:ascii="Times New Roman" w:hAnsi="Times New Roman" w:eastAsia="宋体" w:cs="Times New Roman"/>
          <w:szCs w:val="21"/>
        </w:rPr>
        <w:t>．</w:t>
      </w:r>
      <w:r>
        <w:rPr>
          <w:rFonts w:cs="Times New Roman" w:asciiTheme="minorEastAsia" w:hAnsiTheme="minorEastAsia"/>
          <w:szCs w:val="21"/>
        </w:rPr>
        <w:t>导师小组联合指导，导师负责制。各系、中心应成立以博士生导师为主</w:t>
      </w:r>
      <w:r>
        <w:rPr>
          <w:rFonts w:ascii="Times New Roman" w:hAnsi="Times New Roman" w:cs="Times New Roman"/>
          <w:szCs w:val="21"/>
        </w:rPr>
        <w:t>5</w:t>
      </w:r>
      <w:r>
        <w:rPr>
          <w:rFonts w:cs="Times New Roman" w:asciiTheme="minorEastAsia" w:hAnsiTheme="minorEastAsia"/>
          <w:szCs w:val="21"/>
        </w:rPr>
        <w:t>人指导小组及课题小组的有关成员，按照</w:t>
      </w:r>
      <w:r>
        <w:rPr>
          <w:rFonts w:cs="Times New Roman" w:asciiTheme="minorEastAsia" w:hAnsiTheme="minorEastAsia"/>
          <w:kern w:val="0"/>
          <w:szCs w:val="21"/>
        </w:rPr>
        <w:t>硕博连读生</w:t>
      </w:r>
      <w:r>
        <w:rPr>
          <w:rFonts w:cs="Times New Roman" w:asciiTheme="minorEastAsia" w:hAnsiTheme="minorEastAsia"/>
          <w:szCs w:val="21"/>
        </w:rPr>
        <w:t>培养计划的要求，制订培养计划。共同协助搞好贯通式培研究生的培养工作。</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2</w:t>
      </w:r>
      <w:r>
        <w:rPr>
          <w:rFonts w:ascii="Times New Roman" w:hAnsi="Times New Roman" w:eastAsia="宋体" w:cs="Times New Roman"/>
          <w:szCs w:val="21"/>
        </w:rPr>
        <w:t>．</w:t>
      </w:r>
      <w:r>
        <w:rPr>
          <w:rFonts w:cs="Times New Roman" w:asciiTheme="minorEastAsia" w:hAnsiTheme="minorEastAsia"/>
          <w:szCs w:val="21"/>
        </w:rPr>
        <w:t>课程学习要满足需要的学分；课程包括本专业的基础和前沿课程和开展自己研究工作的必要知识和技术，可采用上课、学术报告、国际交流、讨论等方式。</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3</w:t>
      </w:r>
      <w:r>
        <w:rPr>
          <w:rFonts w:ascii="Times New Roman" w:hAnsi="Times New Roman" w:eastAsia="宋体" w:cs="Times New Roman"/>
          <w:szCs w:val="21"/>
        </w:rPr>
        <w:t>．</w:t>
      </w:r>
      <w:r>
        <w:rPr>
          <w:rFonts w:ascii="Times New Roman" w:hAnsi="Times New Roman" w:cs="Times New Roman"/>
          <w:szCs w:val="21"/>
        </w:rPr>
        <w:t>积极鼓励学生参加会议、讲座等，展丰富多彩的科研活动，营造浓郁的科研氛围，提升学</w:t>
      </w:r>
      <w:r>
        <w:rPr>
          <w:rFonts w:cs="Times New Roman" w:asciiTheme="minorEastAsia" w:hAnsiTheme="minorEastAsia"/>
          <w:szCs w:val="21"/>
        </w:rPr>
        <w:t>生的科研兴趣，增强学生解决重大科学问题的动力。</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4</w:t>
      </w:r>
      <w:r>
        <w:rPr>
          <w:rFonts w:ascii="Times New Roman" w:hAnsi="Times New Roman" w:eastAsia="宋体" w:cs="Times New Roman"/>
          <w:szCs w:val="21"/>
        </w:rPr>
        <w:t>．</w:t>
      </w:r>
      <w:r>
        <w:rPr>
          <w:rFonts w:cs="Times New Roman" w:asciiTheme="minorEastAsia" w:hAnsiTheme="minorEastAsia"/>
          <w:szCs w:val="21"/>
        </w:rPr>
        <w:t>通过课题组、院系的科研汇报会、文献阅读会、小组讨论会，个别指导等形式，逐步强化学生的科研创新能力。</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5</w:t>
      </w:r>
      <w:r>
        <w:rPr>
          <w:rFonts w:ascii="Times New Roman" w:hAnsi="Times New Roman" w:eastAsia="宋体" w:cs="Times New Roman"/>
          <w:szCs w:val="21"/>
        </w:rPr>
        <w:t>．</w:t>
      </w:r>
      <w:r>
        <w:rPr>
          <w:rFonts w:cs="Times New Roman" w:asciiTheme="minorEastAsia" w:hAnsiTheme="minorEastAsia"/>
          <w:szCs w:val="21"/>
        </w:rPr>
        <w:t>加强培养期间的过程管理，第一学年学习专业基础理论，掌握进行科研所必需的基本技能并写出文献综述。从第二年开始在导师指导下进入课题研究和学位论文准备阶段。硕博连读生，硕士阶段第二学年内完成博士资格考核，在进入博士阶段第二学年起至第三学年末完成博士中期考核；直博生，第二学年内完成博士资格审核，自第三学年起至第四学年末完成博士中期考核。</w:t>
      </w:r>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bookmarkStart w:id="486" w:name="_Toc519846457"/>
      <w:bookmarkStart w:id="487" w:name="_Toc520822677"/>
      <w:r>
        <w:rPr>
          <w:rFonts w:ascii="黑体" w:hAnsi="黑体" w:eastAsia="黑体"/>
          <w:sz w:val="24"/>
          <w:szCs w:val="24"/>
        </w:rPr>
        <w:t>五、课程学习及学分设置</w:t>
      </w:r>
      <w:bookmarkEnd w:id="486"/>
      <w:bookmarkEnd w:id="487"/>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本学科学术型硕博贯通式培养方案共需修满4</w:t>
      </w:r>
      <w:r>
        <w:rPr>
          <w:rFonts w:cs="Times New Roman" w:asciiTheme="minorEastAsia" w:hAnsiTheme="minorEastAsia"/>
          <w:szCs w:val="21"/>
        </w:rPr>
        <w:t>3</w:t>
      </w:r>
      <w:r>
        <w:rPr>
          <w:rFonts w:hint="eastAsia" w:cs="Times New Roman" w:asciiTheme="minorEastAsia" w:hAnsiTheme="minorEastAsia"/>
          <w:szCs w:val="21"/>
        </w:rPr>
        <w:t>学分，其中课程学习26学分，必修环节</w:t>
      </w:r>
      <w:r>
        <w:rPr>
          <w:rFonts w:cs="Times New Roman" w:asciiTheme="minorEastAsia" w:hAnsiTheme="minorEastAsia"/>
          <w:szCs w:val="21"/>
        </w:rPr>
        <w:t>17学分</w:t>
      </w:r>
      <w:r>
        <w:rPr>
          <w:rFonts w:hint="eastAsia" w:cs="Times New Roman" w:asciiTheme="minorEastAsia" w:hAnsiTheme="minorEastAsia"/>
          <w:szCs w:val="21"/>
        </w:rPr>
        <w:t>。</w:t>
      </w:r>
      <w:r>
        <w:rPr>
          <w:rFonts w:cs="Times New Roman" w:asciiTheme="minorEastAsia" w:hAnsiTheme="minorEastAsia"/>
          <w:szCs w:val="21"/>
        </w:rPr>
        <w:t>课程学习包括：学位课1</w:t>
      </w:r>
      <w:r>
        <w:rPr>
          <w:rFonts w:hint="eastAsia" w:cs="Times New Roman" w:asciiTheme="minorEastAsia" w:hAnsiTheme="minorEastAsia"/>
          <w:szCs w:val="21"/>
        </w:rPr>
        <w:t>8</w:t>
      </w:r>
      <w:r>
        <w:rPr>
          <w:rFonts w:cs="Times New Roman" w:asciiTheme="minorEastAsia" w:hAnsiTheme="minorEastAsia"/>
          <w:szCs w:val="21"/>
        </w:rPr>
        <w:t>学分，选修课</w:t>
      </w:r>
      <w:r>
        <w:rPr>
          <w:rFonts w:hint="eastAsia" w:cs="Times New Roman" w:asciiTheme="minorEastAsia" w:hAnsiTheme="minorEastAsia"/>
          <w:szCs w:val="21"/>
        </w:rPr>
        <w:t>8</w:t>
      </w:r>
      <w:r>
        <w:rPr>
          <w:rFonts w:cs="Times New Roman" w:asciiTheme="minorEastAsia" w:hAnsiTheme="minorEastAsia"/>
          <w:szCs w:val="21"/>
        </w:rPr>
        <w:t>学分。学位课包括公共学位课7学分（思政课</w:t>
      </w:r>
      <w:r>
        <w:rPr>
          <w:rFonts w:hint="eastAsia" w:cs="Times New Roman" w:asciiTheme="minorEastAsia" w:hAnsiTheme="minorEastAsia"/>
          <w:szCs w:val="21"/>
        </w:rPr>
        <w:t>5</w:t>
      </w:r>
      <w:r>
        <w:rPr>
          <w:rFonts w:cs="Times New Roman" w:asciiTheme="minorEastAsia" w:hAnsiTheme="minorEastAsia"/>
          <w:szCs w:val="21"/>
        </w:rPr>
        <w:t>学分，外语课2学分），</w:t>
      </w:r>
      <w:r>
        <w:rPr>
          <w:rFonts w:hint="eastAsia" w:cs="Times New Roman" w:asciiTheme="minorEastAsia" w:hAnsiTheme="minorEastAsia"/>
          <w:szCs w:val="21"/>
        </w:rPr>
        <w:t>学科</w:t>
      </w:r>
      <w:r>
        <w:rPr>
          <w:rFonts w:cs="Times New Roman" w:asciiTheme="minorEastAsia" w:hAnsiTheme="minorEastAsia"/>
          <w:szCs w:val="21"/>
        </w:rPr>
        <w:t>学位课</w:t>
      </w:r>
      <w:r>
        <w:rPr>
          <w:rFonts w:hint="eastAsia" w:cs="Times New Roman" w:asciiTheme="minorEastAsia" w:hAnsiTheme="minorEastAsia"/>
          <w:szCs w:val="21"/>
        </w:rPr>
        <w:t>11</w:t>
      </w:r>
      <w:r>
        <w:rPr>
          <w:rFonts w:cs="Times New Roman" w:asciiTheme="minorEastAsia" w:hAnsiTheme="minorEastAsia"/>
          <w:szCs w:val="21"/>
        </w:rPr>
        <w:t>学分</w:t>
      </w:r>
      <w:r>
        <w:rPr>
          <w:rFonts w:hint="eastAsia" w:cs="Times New Roman" w:asciiTheme="minorEastAsia" w:hAnsiTheme="minorEastAsia"/>
          <w:szCs w:val="21"/>
        </w:rPr>
        <w:t>。</w:t>
      </w:r>
    </w:p>
    <w:tbl>
      <w:tblPr>
        <w:tblStyle w:val="37"/>
        <w:tblW w:w="4695" w:type="pct"/>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99"/>
        <w:gridCol w:w="1119"/>
        <w:gridCol w:w="1486"/>
        <w:gridCol w:w="2217"/>
        <w:gridCol w:w="77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25"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ascii="Times New Roman" w:hAnsi="Times New Roman" w:cs="Times New Roman"/>
                <w:b/>
                <w:bCs/>
                <w:szCs w:val="21"/>
              </w:rPr>
            </w:pPr>
            <w:r>
              <w:rPr>
                <w:rFonts w:ascii="Times New Roman" w:hAnsi="Times New Roman" w:cs="Times New Roman"/>
                <w:b/>
                <w:bCs/>
                <w:szCs w:val="21"/>
              </w:rPr>
              <w:t>课程类型</w:t>
            </w:r>
          </w:p>
        </w:tc>
        <w:tc>
          <w:tcPr>
            <w:tcW w:w="356"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ascii="Times New Roman" w:hAnsi="Times New Roman" w:cs="Times New Roman"/>
                <w:b/>
                <w:bCs/>
                <w:szCs w:val="21"/>
              </w:rPr>
            </w:pPr>
            <w:r>
              <w:rPr>
                <w:rFonts w:ascii="Times New Roman" w:hAnsi="Times New Roman" w:cs="Times New Roman"/>
                <w:b/>
                <w:bCs/>
                <w:szCs w:val="21"/>
              </w:rPr>
              <w:t>序号</w:t>
            </w:r>
          </w:p>
        </w:tc>
        <w:tc>
          <w:tcPr>
            <w:tcW w:w="665"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ascii="Times New Roman" w:hAnsi="Times New Roman" w:cs="Times New Roman"/>
                <w:b/>
                <w:bCs/>
                <w:szCs w:val="21"/>
              </w:rPr>
            </w:pPr>
            <w:r>
              <w:rPr>
                <w:rFonts w:hint="eastAsia" w:ascii="Times New Roman" w:hAnsi="Times New Roman" w:cs="Times New Roman"/>
                <w:b/>
                <w:bCs/>
                <w:szCs w:val="21"/>
              </w:rPr>
              <w:t>统一编号</w:t>
            </w:r>
          </w:p>
        </w:tc>
        <w:tc>
          <w:tcPr>
            <w:tcW w:w="88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ascii="Times New Roman" w:hAnsi="Times New Roman" w:cs="Times New Roman"/>
                <w:b/>
                <w:bCs/>
                <w:szCs w:val="21"/>
              </w:rPr>
            </w:pPr>
            <w:r>
              <w:rPr>
                <w:rFonts w:ascii="Times New Roman" w:hAnsi="Times New Roman" w:cs="Times New Roman"/>
                <w:b/>
                <w:bCs/>
                <w:szCs w:val="21"/>
              </w:rPr>
              <w:t>统一编码</w:t>
            </w:r>
          </w:p>
        </w:tc>
        <w:tc>
          <w:tcPr>
            <w:tcW w:w="1317"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ascii="Times New Roman" w:hAnsi="Times New Roman" w:cs="Times New Roman"/>
                <w:b/>
                <w:bCs/>
                <w:szCs w:val="21"/>
              </w:rPr>
            </w:pPr>
            <w:r>
              <w:rPr>
                <w:rFonts w:ascii="Times New Roman" w:hAnsi="Times New Roman" w:cs="Times New Roman"/>
                <w:b/>
                <w:bCs/>
                <w:szCs w:val="21"/>
              </w:rPr>
              <w:t>课程名称</w:t>
            </w:r>
          </w:p>
        </w:tc>
        <w:tc>
          <w:tcPr>
            <w:tcW w:w="46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ascii="Times New Roman" w:hAnsi="Times New Roman" w:cs="Times New Roman"/>
                <w:b/>
                <w:bCs/>
                <w:szCs w:val="21"/>
              </w:rPr>
            </w:pPr>
            <w:r>
              <w:rPr>
                <w:rFonts w:ascii="Times New Roman" w:hAnsi="Times New Roman" w:cs="Times New Roman"/>
                <w:b/>
                <w:bCs/>
                <w:szCs w:val="21"/>
              </w:rPr>
              <w:t>学分</w:t>
            </w:r>
          </w:p>
        </w:tc>
        <w:tc>
          <w:tcPr>
            <w:tcW w:w="690"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jc w:val="center"/>
              <w:textAlignment w:val="auto"/>
              <w:rPr>
                <w:rFonts w:ascii="Times New Roman" w:hAnsi="Times New Roman" w:cs="Times New Roman"/>
                <w:b/>
                <w:bCs/>
                <w:szCs w:val="21"/>
              </w:rPr>
            </w:pPr>
            <w:r>
              <w:rPr>
                <w:rFonts w:ascii="Times New Roman" w:hAnsi="Times New Roman" w:cs="Times New Roman"/>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pct"/>
            <w:vMerge w:val="restar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Cs/>
                <w:szCs w:val="21"/>
              </w:rPr>
            </w:pPr>
            <w:r>
              <w:rPr>
                <w:rFonts w:ascii="Times New Roman" w:hAnsi="Times New Roman" w:cs="Times New Roman"/>
                <w:bCs/>
                <w:szCs w:val="21"/>
              </w:rPr>
              <w:t>公共学位课</w:t>
            </w:r>
          </w:p>
        </w:tc>
        <w:tc>
          <w:tcPr>
            <w:tcW w:w="356"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665"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141003</w:t>
            </w:r>
          </w:p>
        </w:tc>
        <w:tc>
          <w:tcPr>
            <w:tcW w:w="88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MLMD6003</w:t>
            </w:r>
            <w:r>
              <w:rPr>
                <w:rFonts w:hint="eastAsia" w:cs="Times New Roman" w:asciiTheme="minorEastAsia" w:hAnsiTheme="minorEastAsia"/>
                <w:szCs w:val="21"/>
              </w:rPr>
              <w:t>14</w:t>
            </w:r>
          </w:p>
        </w:tc>
        <w:tc>
          <w:tcPr>
            <w:tcW w:w="1317"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hint="eastAsia" w:ascii="Times New Roman" w:hAnsi="Times New Roman" w:cs="Times New Roman"/>
                <w:szCs w:val="21"/>
              </w:rPr>
              <w:t>新时代</w:t>
            </w:r>
            <w:r>
              <w:rPr>
                <w:rFonts w:ascii="Times New Roman" w:hAnsi="Times New Roman" w:cs="Times New Roman"/>
                <w:szCs w:val="21"/>
              </w:rPr>
              <w:t>中国特色社会主义理论与实践</w:t>
            </w:r>
          </w:p>
        </w:tc>
        <w:tc>
          <w:tcPr>
            <w:tcW w:w="46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690" w:type="pct"/>
            <w:vMerge w:val="restar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5学分</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56"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665"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141005</w:t>
            </w:r>
          </w:p>
        </w:tc>
        <w:tc>
          <w:tcPr>
            <w:tcW w:w="88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PHLS6001</w:t>
            </w:r>
            <w:r>
              <w:rPr>
                <w:rFonts w:hint="eastAsia" w:cs="Times New Roman" w:asciiTheme="minorEastAsia" w:hAnsiTheme="minorEastAsia"/>
                <w:szCs w:val="21"/>
              </w:rPr>
              <w:t>14</w:t>
            </w:r>
          </w:p>
        </w:tc>
        <w:tc>
          <w:tcPr>
            <w:tcW w:w="1317"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自然辩证法</w:t>
            </w:r>
          </w:p>
        </w:tc>
        <w:tc>
          <w:tcPr>
            <w:tcW w:w="46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690"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56"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3</w:t>
            </w:r>
          </w:p>
        </w:tc>
        <w:tc>
          <w:tcPr>
            <w:tcW w:w="665"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12106</w:t>
            </w:r>
            <w:r>
              <w:rPr>
                <w:rFonts w:hint="eastAsia" w:cs="Times New Roman" w:asciiTheme="minorEastAsia" w:hAnsiTheme="minorEastAsia"/>
                <w:szCs w:val="21"/>
              </w:rPr>
              <w:t>7</w:t>
            </w:r>
          </w:p>
        </w:tc>
        <w:tc>
          <w:tcPr>
            <w:tcW w:w="88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ENGL602112</w:t>
            </w:r>
          </w:p>
        </w:tc>
        <w:tc>
          <w:tcPr>
            <w:tcW w:w="1317"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hint="eastAsia" w:ascii="Times New Roman" w:hAnsi="Times New Roman" w:cs="Times New Roman"/>
                <w:szCs w:val="21"/>
              </w:rPr>
              <w:t>学术英语二</w:t>
            </w:r>
          </w:p>
        </w:tc>
        <w:tc>
          <w:tcPr>
            <w:tcW w:w="46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690"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56"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4</w:t>
            </w:r>
          </w:p>
        </w:tc>
        <w:tc>
          <w:tcPr>
            <w:tcW w:w="665"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141006</w:t>
            </w:r>
          </w:p>
        </w:tc>
        <w:tc>
          <w:tcPr>
            <w:tcW w:w="88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MLMD6001</w:t>
            </w:r>
            <w:r>
              <w:rPr>
                <w:rFonts w:hint="eastAsia" w:cs="Times New Roman" w:asciiTheme="minorEastAsia" w:hAnsiTheme="minorEastAsia"/>
                <w:szCs w:val="21"/>
              </w:rPr>
              <w:t>14</w:t>
            </w:r>
          </w:p>
        </w:tc>
        <w:tc>
          <w:tcPr>
            <w:tcW w:w="1317"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中国马克思主义与当代</w:t>
            </w:r>
          </w:p>
        </w:tc>
        <w:tc>
          <w:tcPr>
            <w:tcW w:w="46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690"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进入博士培养阶段后必选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pct"/>
            <w:vMerge w:val="restar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r>
              <w:rPr>
                <w:rFonts w:hint="eastAsia" w:ascii="宋体" w:hAnsi="宋体" w:eastAsia="宋体" w:cs="宋体"/>
                <w:bCs/>
                <w:szCs w:val="21"/>
              </w:rPr>
              <w:t>学科</w:t>
            </w:r>
            <w:r>
              <w:rPr>
                <w:rFonts w:ascii="宋体" w:hAnsi="宋体" w:eastAsia="宋体" w:cs="宋体"/>
                <w:bCs/>
                <w:szCs w:val="21"/>
              </w:rPr>
              <w:t>学位课</w:t>
            </w:r>
          </w:p>
        </w:tc>
        <w:tc>
          <w:tcPr>
            <w:tcW w:w="356"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665"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152050</w:t>
            </w:r>
          </w:p>
        </w:tc>
        <w:tc>
          <w:tcPr>
            <w:tcW w:w="88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PUBH6107</w:t>
            </w:r>
            <w:r>
              <w:rPr>
                <w:rFonts w:hint="eastAsia" w:cs="Times New Roman" w:asciiTheme="minorEastAsia" w:hAnsiTheme="minorEastAsia"/>
                <w:szCs w:val="21"/>
              </w:rPr>
              <w:t>15</w:t>
            </w:r>
          </w:p>
        </w:tc>
        <w:tc>
          <w:tcPr>
            <w:tcW w:w="1317"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医学统计学</w:t>
            </w:r>
          </w:p>
        </w:tc>
        <w:tc>
          <w:tcPr>
            <w:tcW w:w="46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690" w:type="pct"/>
            <w:vMerge w:val="restar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9学分</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56"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665"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153043</w:t>
            </w:r>
          </w:p>
        </w:tc>
        <w:tc>
          <w:tcPr>
            <w:tcW w:w="88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BASM6125</w:t>
            </w:r>
            <w:r>
              <w:rPr>
                <w:rFonts w:hint="eastAsia" w:cs="Times New Roman" w:asciiTheme="minorEastAsia" w:hAnsiTheme="minorEastAsia"/>
                <w:szCs w:val="21"/>
              </w:rPr>
              <w:t>15</w:t>
            </w:r>
          </w:p>
        </w:tc>
        <w:tc>
          <w:tcPr>
            <w:tcW w:w="1317"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hint="eastAsia" w:cs="Times New Roman" w:asciiTheme="minorEastAsia" w:hAnsiTheme="minorEastAsia"/>
                <w:szCs w:val="21"/>
              </w:rPr>
              <w:t>Medical</w:t>
            </w:r>
            <w:r>
              <w:rPr>
                <w:rFonts w:cs="Times New Roman" w:asciiTheme="minorEastAsia" w:hAnsiTheme="minorEastAsia"/>
                <w:szCs w:val="21"/>
              </w:rPr>
              <w:t xml:space="preserve"> </w:t>
            </w:r>
            <w:r>
              <w:rPr>
                <w:rFonts w:hint="eastAsia" w:cs="Times New Roman" w:asciiTheme="minorEastAsia" w:hAnsiTheme="minorEastAsia"/>
                <w:szCs w:val="21"/>
              </w:rPr>
              <w:t>Molecular</w:t>
            </w:r>
            <w:r>
              <w:rPr>
                <w:rFonts w:cs="Times New Roman" w:asciiTheme="minorEastAsia" w:hAnsiTheme="minorEastAsia"/>
                <w:szCs w:val="21"/>
              </w:rPr>
              <w:t xml:space="preserve"> </w:t>
            </w:r>
            <w:r>
              <w:rPr>
                <w:rFonts w:hint="eastAsia" w:cs="Times New Roman" w:asciiTheme="minorEastAsia" w:hAnsiTheme="minorEastAsia"/>
                <w:szCs w:val="21"/>
              </w:rPr>
              <w:t>Biology（全英文）</w:t>
            </w:r>
          </w:p>
        </w:tc>
        <w:tc>
          <w:tcPr>
            <w:tcW w:w="46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690"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56"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3</w:t>
            </w:r>
          </w:p>
        </w:tc>
        <w:tc>
          <w:tcPr>
            <w:tcW w:w="665"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152191</w:t>
            </w:r>
          </w:p>
        </w:tc>
        <w:tc>
          <w:tcPr>
            <w:tcW w:w="88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PUBH6119</w:t>
            </w:r>
            <w:r>
              <w:rPr>
                <w:rFonts w:hint="eastAsia" w:cs="Times New Roman" w:asciiTheme="minorEastAsia" w:hAnsiTheme="minorEastAsia"/>
                <w:szCs w:val="21"/>
              </w:rPr>
              <w:t>15</w:t>
            </w:r>
          </w:p>
        </w:tc>
        <w:tc>
          <w:tcPr>
            <w:tcW w:w="1317"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现代流行病学</w:t>
            </w:r>
          </w:p>
        </w:tc>
        <w:tc>
          <w:tcPr>
            <w:tcW w:w="46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3</w:t>
            </w:r>
          </w:p>
        </w:tc>
        <w:tc>
          <w:tcPr>
            <w:tcW w:w="690"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56"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4</w:t>
            </w:r>
          </w:p>
        </w:tc>
        <w:tc>
          <w:tcPr>
            <w:tcW w:w="665"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152192</w:t>
            </w:r>
          </w:p>
        </w:tc>
        <w:tc>
          <w:tcPr>
            <w:tcW w:w="88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PUBH6112</w:t>
            </w:r>
            <w:r>
              <w:rPr>
                <w:rFonts w:hint="eastAsia" w:cs="Times New Roman" w:asciiTheme="minorEastAsia" w:hAnsiTheme="minorEastAsia"/>
                <w:szCs w:val="21"/>
              </w:rPr>
              <w:t>15</w:t>
            </w:r>
          </w:p>
        </w:tc>
        <w:tc>
          <w:tcPr>
            <w:tcW w:w="1317"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公共卫生学</w:t>
            </w:r>
          </w:p>
        </w:tc>
        <w:tc>
          <w:tcPr>
            <w:tcW w:w="46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690"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56"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665"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152096</w:t>
            </w:r>
          </w:p>
        </w:tc>
        <w:tc>
          <w:tcPr>
            <w:tcW w:w="88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PUBH7104</w:t>
            </w:r>
            <w:r>
              <w:rPr>
                <w:rFonts w:hint="eastAsia" w:cs="Times New Roman" w:asciiTheme="minorEastAsia" w:hAnsiTheme="minorEastAsia"/>
                <w:szCs w:val="21"/>
              </w:rPr>
              <w:t>15</w:t>
            </w:r>
          </w:p>
        </w:tc>
        <w:tc>
          <w:tcPr>
            <w:tcW w:w="1317"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流行病与卫生统计学（2）</w:t>
            </w:r>
          </w:p>
        </w:tc>
        <w:tc>
          <w:tcPr>
            <w:tcW w:w="46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690" w:type="pct"/>
            <w:vMerge w:val="restar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根据学生的专业选修2学分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56"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665"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152095</w:t>
            </w:r>
          </w:p>
        </w:tc>
        <w:tc>
          <w:tcPr>
            <w:tcW w:w="88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PUBH7103</w:t>
            </w:r>
            <w:r>
              <w:rPr>
                <w:rFonts w:hint="eastAsia" w:cs="Times New Roman" w:asciiTheme="minorEastAsia" w:hAnsiTheme="minorEastAsia"/>
                <w:szCs w:val="21"/>
              </w:rPr>
              <w:t>15</w:t>
            </w:r>
          </w:p>
        </w:tc>
        <w:tc>
          <w:tcPr>
            <w:tcW w:w="1317"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劳动卫生与环境卫生学（2）</w:t>
            </w:r>
          </w:p>
        </w:tc>
        <w:tc>
          <w:tcPr>
            <w:tcW w:w="46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690"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56"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3</w:t>
            </w:r>
          </w:p>
        </w:tc>
        <w:tc>
          <w:tcPr>
            <w:tcW w:w="665"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152093</w:t>
            </w:r>
          </w:p>
        </w:tc>
        <w:tc>
          <w:tcPr>
            <w:tcW w:w="88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PUBH7101</w:t>
            </w:r>
            <w:r>
              <w:rPr>
                <w:rFonts w:hint="eastAsia" w:cs="Times New Roman" w:asciiTheme="minorEastAsia" w:hAnsiTheme="minorEastAsia"/>
                <w:szCs w:val="21"/>
              </w:rPr>
              <w:t>15</w:t>
            </w:r>
          </w:p>
        </w:tc>
        <w:tc>
          <w:tcPr>
            <w:tcW w:w="1317"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营养与食品卫生学（2）</w:t>
            </w:r>
          </w:p>
        </w:tc>
        <w:tc>
          <w:tcPr>
            <w:tcW w:w="46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690"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56"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4</w:t>
            </w:r>
          </w:p>
        </w:tc>
        <w:tc>
          <w:tcPr>
            <w:tcW w:w="665"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152094</w:t>
            </w:r>
          </w:p>
        </w:tc>
        <w:tc>
          <w:tcPr>
            <w:tcW w:w="88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PUBH7102</w:t>
            </w:r>
            <w:r>
              <w:rPr>
                <w:rFonts w:hint="eastAsia" w:cs="Times New Roman" w:asciiTheme="minorEastAsia" w:hAnsiTheme="minorEastAsia"/>
                <w:szCs w:val="21"/>
              </w:rPr>
              <w:t>15</w:t>
            </w:r>
          </w:p>
        </w:tc>
        <w:tc>
          <w:tcPr>
            <w:tcW w:w="1317"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儿少卫生与妇幼保健学（2）</w:t>
            </w:r>
          </w:p>
        </w:tc>
        <w:tc>
          <w:tcPr>
            <w:tcW w:w="46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690"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56"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5</w:t>
            </w:r>
          </w:p>
        </w:tc>
        <w:tc>
          <w:tcPr>
            <w:tcW w:w="665"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152132</w:t>
            </w:r>
          </w:p>
        </w:tc>
        <w:tc>
          <w:tcPr>
            <w:tcW w:w="88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PUBH7105</w:t>
            </w:r>
            <w:r>
              <w:rPr>
                <w:rFonts w:hint="eastAsia" w:cs="Times New Roman" w:asciiTheme="minorEastAsia" w:hAnsiTheme="minorEastAsia"/>
                <w:szCs w:val="21"/>
              </w:rPr>
              <w:t>15</w:t>
            </w:r>
          </w:p>
        </w:tc>
        <w:tc>
          <w:tcPr>
            <w:tcW w:w="1317"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卫生毒理学（2）</w:t>
            </w:r>
          </w:p>
        </w:tc>
        <w:tc>
          <w:tcPr>
            <w:tcW w:w="46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690"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pct"/>
            <w:vMerge w:val="restar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bCs/>
                <w:szCs w:val="21"/>
              </w:rPr>
            </w:pPr>
            <w:r>
              <w:rPr>
                <w:rFonts w:hint="eastAsia" w:ascii="宋体" w:hAnsi="宋体" w:eastAsia="宋体" w:cs="宋体"/>
                <w:bCs/>
                <w:szCs w:val="21"/>
              </w:rPr>
              <w:t>学科</w:t>
            </w:r>
            <w:r>
              <w:rPr>
                <w:rFonts w:ascii="宋体" w:hAnsi="宋体" w:eastAsia="宋体" w:cs="宋体"/>
                <w:bCs/>
                <w:szCs w:val="21"/>
              </w:rPr>
              <w:t>选修课</w:t>
            </w:r>
          </w:p>
        </w:tc>
        <w:tc>
          <w:tcPr>
            <w:tcW w:w="356"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1</w:t>
            </w:r>
          </w:p>
        </w:tc>
        <w:tc>
          <w:tcPr>
            <w:tcW w:w="665" w:type="pct"/>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kern w:val="0"/>
                <w:sz w:val="22"/>
              </w:rPr>
            </w:pPr>
            <w:r>
              <w:rPr>
                <w:rFonts w:hint="eastAsia"/>
                <w:sz w:val="22"/>
              </w:rPr>
              <w:t>152054</w:t>
            </w:r>
          </w:p>
        </w:tc>
        <w:tc>
          <w:tcPr>
            <w:tcW w:w="883" w:type="pct"/>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宋体" w:hAnsi="宋体" w:eastAsia="宋体" w:cs="宋体"/>
                <w:kern w:val="0"/>
                <w:sz w:val="22"/>
              </w:rPr>
            </w:pPr>
            <w:r>
              <w:rPr>
                <w:rFonts w:hint="eastAsia"/>
                <w:sz w:val="22"/>
              </w:rPr>
              <w:t>PUBH611115</w:t>
            </w:r>
          </w:p>
        </w:tc>
        <w:tc>
          <w:tcPr>
            <w:tcW w:w="1317" w:type="pct"/>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宋体" w:hAnsi="宋体" w:eastAsia="宋体" w:cs="宋体"/>
                <w:kern w:val="0"/>
                <w:sz w:val="22"/>
              </w:rPr>
            </w:pPr>
            <w:r>
              <w:rPr>
                <w:rFonts w:hint="eastAsia"/>
                <w:sz w:val="22"/>
              </w:rPr>
              <w:t>突发性公共卫生事件预防与控制</w:t>
            </w:r>
          </w:p>
        </w:tc>
        <w:tc>
          <w:tcPr>
            <w:tcW w:w="46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2</w:t>
            </w:r>
          </w:p>
        </w:tc>
        <w:tc>
          <w:tcPr>
            <w:tcW w:w="690" w:type="pct"/>
            <w:vMerge w:val="restar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105" w:firstLineChars="50"/>
              <w:textAlignment w:val="auto"/>
              <w:rPr>
                <w:rFonts w:ascii="Times New Roman" w:hAnsi="Times New Roman" w:cs="Times New Roman"/>
                <w:szCs w:val="21"/>
              </w:rPr>
            </w:pPr>
            <w:r>
              <w:rPr>
                <w:rFonts w:ascii="Times New Roman" w:hAnsi="Times New Roman" w:cs="Times New Roman"/>
                <w:szCs w:val="21"/>
              </w:rPr>
              <w:t>I类选修课</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ascii="Times New Roman" w:hAnsi="Times New Roman" w:cs="Times New Roman"/>
                <w:szCs w:val="21"/>
              </w:rPr>
              <w:t>≥4学分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625"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56"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665"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152049</w:t>
            </w:r>
          </w:p>
        </w:tc>
        <w:tc>
          <w:tcPr>
            <w:tcW w:w="88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PUBH6106</w:t>
            </w:r>
            <w:r>
              <w:rPr>
                <w:rFonts w:hint="eastAsia" w:cs="Times New Roman" w:asciiTheme="minorEastAsia" w:hAnsiTheme="minorEastAsia"/>
                <w:szCs w:val="21"/>
              </w:rPr>
              <w:t>15</w:t>
            </w:r>
          </w:p>
        </w:tc>
        <w:tc>
          <w:tcPr>
            <w:tcW w:w="1317"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数据管理与分析</w:t>
            </w:r>
          </w:p>
        </w:tc>
        <w:tc>
          <w:tcPr>
            <w:tcW w:w="46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690"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56"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3</w:t>
            </w:r>
          </w:p>
        </w:tc>
        <w:tc>
          <w:tcPr>
            <w:tcW w:w="665"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152051</w:t>
            </w:r>
          </w:p>
        </w:tc>
        <w:tc>
          <w:tcPr>
            <w:tcW w:w="88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PUBH6108</w:t>
            </w:r>
            <w:r>
              <w:rPr>
                <w:rFonts w:hint="eastAsia" w:cs="Times New Roman" w:asciiTheme="minorEastAsia" w:hAnsiTheme="minorEastAsia"/>
                <w:szCs w:val="21"/>
              </w:rPr>
              <w:t>15</w:t>
            </w:r>
          </w:p>
        </w:tc>
        <w:tc>
          <w:tcPr>
            <w:tcW w:w="1317"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pacing w:val="-6"/>
                <w:szCs w:val="21"/>
              </w:rPr>
            </w:pPr>
            <w:r>
              <w:rPr>
                <w:rFonts w:ascii="Times New Roman" w:hAnsi="Times New Roman" w:cs="Times New Roman"/>
                <w:spacing w:val="-6"/>
                <w:szCs w:val="21"/>
              </w:rPr>
              <w:t>医用多因素统计分析方法</w:t>
            </w:r>
          </w:p>
        </w:tc>
        <w:tc>
          <w:tcPr>
            <w:tcW w:w="46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690"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56"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4</w:t>
            </w:r>
          </w:p>
        </w:tc>
        <w:tc>
          <w:tcPr>
            <w:tcW w:w="665"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152069</w:t>
            </w:r>
          </w:p>
        </w:tc>
        <w:tc>
          <w:tcPr>
            <w:tcW w:w="88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PUBH6116</w:t>
            </w:r>
            <w:r>
              <w:rPr>
                <w:rFonts w:hint="eastAsia" w:cs="Times New Roman" w:asciiTheme="minorEastAsia" w:hAnsiTheme="minorEastAsia"/>
                <w:szCs w:val="21"/>
              </w:rPr>
              <w:t>15</w:t>
            </w:r>
          </w:p>
        </w:tc>
        <w:tc>
          <w:tcPr>
            <w:tcW w:w="1317"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环境-基因相互作用研究的流行病学方法</w:t>
            </w:r>
          </w:p>
        </w:tc>
        <w:tc>
          <w:tcPr>
            <w:tcW w:w="46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690"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56"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5</w:t>
            </w:r>
          </w:p>
        </w:tc>
        <w:tc>
          <w:tcPr>
            <w:tcW w:w="665"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152075</w:t>
            </w:r>
          </w:p>
        </w:tc>
        <w:tc>
          <w:tcPr>
            <w:tcW w:w="88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BASM6117</w:t>
            </w:r>
            <w:r>
              <w:rPr>
                <w:rFonts w:hint="eastAsia" w:cs="Times New Roman" w:asciiTheme="minorEastAsia" w:hAnsiTheme="minorEastAsia"/>
                <w:szCs w:val="21"/>
              </w:rPr>
              <w:t>15</w:t>
            </w:r>
          </w:p>
        </w:tc>
        <w:tc>
          <w:tcPr>
            <w:tcW w:w="1317"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医学科学研究导论</w:t>
            </w:r>
          </w:p>
        </w:tc>
        <w:tc>
          <w:tcPr>
            <w:tcW w:w="46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690"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pct"/>
            <w:vMerge w:val="restar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r>
              <w:rPr>
                <w:rFonts w:hint="eastAsia" w:ascii="宋体" w:hAnsi="宋体" w:eastAsia="宋体" w:cs="宋体"/>
                <w:bCs/>
                <w:szCs w:val="21"/>
              </w:rPr>
              <w:t>其他</w:t>
            </w:r>
            <w:r>
              <w:rPr>
                <w:rFonts w:ascii="宋体" w:hAnsi="宋体" w:eastAsia="宋体" w:cs="宋体"/>
                <w:bCs/>
                <w:szCs w:val="21"/>
              </w:rPr>
              <w:t>选修课</w:t>
            </w:r>
          </w:p>
        </w:tc>
        <w:tc>
          <w:tcPr>
            <w:tcW w:w="356"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1</w:t>
            </w:r>
          </w:p>
        </w:tc>
        <w:tc>
          <w:tcPr>
            <w:tcW w:w="665"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hint="eastAsia" w:ascii="宋体" w:hAnsi="宋体" w:eastAsia="宋体" w:cs="Times New Roman"/>
                <w:szCs w:val="21"/>
              </w:rPr>
              <w:t>153044</w:t>
            </w:r>
          </w:p>
        </w:tc>
        <w:tc>
          <w:tcPr>
            <w:tcW w:w="88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Times New Roman"/>
                <w:szCs w:val="21"/>
              </w:rPr>
            </w:pPr>
            <w:r>
              <w:rPr>
                <w:rFonts w:ascii="宋体" w:hAnsi="宋体" w:eastAsia="宋体" w:cs="Times New Roman"/>
                <w:szCs w:val="21"/>
              </w:rPr>
              <w:t>BASM612615</w:t>
            </w:r>
          </w:p>
        </w:tc>
        <w:tc>
          <w:tcPr>
            <w:tcW w:w="1317"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研究生</w:t>
            </w:r>
            <w:r>
              <w:rPr>
                <w:rFonts w:ascii="Times New Roman" w:hAnsi="Times New Roman" w:eastAsia="宋体" w:cs="Times New Roman"/>
                <w:szCs w:val="21"/>
              </w:rPr>
              <w:t>论文写作</w:t>
            </w:r>
            <w:r>
              <w:rPr>
                <w:rFonts w:hint="eastAsia" w:ascii="Times New Roman" w:hAnsi="Times New Roman" w:eastAsia="宋体" w:cs="Times New Roman"/>
                <w:szCs w:val="21"/>
              </w:rPr>
              <w:t>指导（15）</w:t>
            </w:r>
          </w:p>
        </w:tc>
        <w:tc>
          <w:tcPr>
            <w:tcW w:w="46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（必修）</w:t>
            </w:r>
          </w:p>
        </w:tc>
        <w:tc>
          <w:tcPr>
            <w:tcW w:w="690" w:type="pct"/>
            <w:vMerge w:val="restar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II类选修</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eastAsia="宋体" w:cs="Times New Roman"/>
                <w:szCs w:val="21"/>
              </w:rPr>
            </w:pPr>
            <w:r>
              <w:rPr>
                <w:rFonts w:ascii="Times New Roman" w:hAnsi="Times New Roman" w:cs="Times New Roman"/>
                <w:szCs w:val="21"/>
              </w:rPr>
              <w:t>≥4学分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bCs/>
                <w:szCs w:val="21"/>
              </w:rPr>
            </w:pPr>
          </w:p>
        </w:tc>
        <w:tc>
          <w:tcPr>
            <w:tcW w:w="356"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665"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ascii="Times New Roman" w:hAnsi="Times New Roman" w:cs="Times New Roman"/>
                <w:szCs w:val="21"/>
              </w:rPr>
              <w:t>/</w:t>
            </w:r>
          </w:p>
        </w:tc>
        <w:tc>
          <w:tcPr>
            <w:tcW w:w="88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w:t>
            </w:r>
          </w:p>
        </w:tc>
        <w:tc>
          <w:tcPr>
            <w:tcW w:w="1317"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hint="eastAsia" w:ascii="Times New Roman" w:hAnsi="Times New Roman" w:cs="Times New Roman"/>
                <w:szCs w:val="21"/>
              </w:rPr>
              <w:t>在</w:t>
            </w:r>
            <w:r>
              <w:rPr>
                <w:rFonts w:ascii="Times New Roman" w:hAnsi="Times New Roman" w:cs="Times New Roman"/>
                <w:szCs w:val="21"/>
              </w:rPr>
              <w:t>通选课中至少选一门</w:t>
            </w:r>
          </w:p>
        </w:tc>
        <w:tc>
          <w:tcPr>
            <w:tcW w:w="461" w:type="pct"/>
            <w:vMerge w:val="restar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≥3</w:t>
            </w:r>
          </w:p>
        </w:tc>
        <w:tc>
          <w:tcPr>
            <w:tcW w:w="690"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bCs/>
                <w:szCs w:val="21"/>
              </w:rPr>
            </w:pPr>
          </w:p>
        </w:tc>
        <w:tc>
          <w:tcPr>
            <w:tcW w:w="356"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3</w:t>
            </w:r>
          </w:p>
        </w:tc>
        <w:tc>
          <w:tcPr>
            <w:tcW w:w="665"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ascii="Times New Roman" w:hAnsi="Times New Roman" w:cs="Times New Roman"/>
                <w:szCs w:val="21"/>
              </w:rPr>
              <w:t>/</w:t>
            </w:r>
          </w:p>
        </w:tc>
        <w:tc>
          <w:tcPr>
            <w:tcW w:w="88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w:t>
            </w:r>
          </w:p>
        </w:tc>
        <w:tc>
          <w:tcPr>
            <w:tcW w:w="1317"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eastAsia="宋体" w:cs="Times New Roman"/>
                <w:szCs w:val="21"/>
              </w:rPr>
              <w:t>研究生课程目录上选修</w:t>
            </w:r>
          </w:p>
        </w:tc>
        <w:tc>
          <w:tcPr>
            <w:tcW w:w="461"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c>
          <w:tcPr>
            <w:tcW w:w="690"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pct"/>
            <w:vMerge w:val="restar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eastAsia="宋体" w:cs="宋体"/>
                <w:bCs/>
                <w:szCs w:val="21"/>
              </w:rPr>
            </w:pPr>
            <w:r>
              <w:rPr>
                <w:rFonts w:hint="eastAsia" w:ascii="宋体" w:hAnsi="宋体" w:eastAsia="宋体" w:cs="宋体"/>
                <w:bCs/>
                <w:szCs w:val="21"/>
              </w:rPr>
              <w:t>必修</w:t>
            </w:r>
            <w:r>
              <w:rPr>
                <w:rFonts w:ascii="宋体" w:hAnsi="宋体" w:eastAsia="宋体" w:cs="宋体"/>
                <w:bCs/>
                <w:szCs w:val="21"/>
              </w:rPr>
              <w:t>环节</w:t>
            </w:r>
          </w:p>
        </w:tc>
        <w:tc>
          <w:tcPr>
            <w:tcW w:w="356"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665"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001999</w:t>
            </w:r>
          </w:p>
        </w:tc>
        <w:tc>
          <w:tcPr>
            <w:tcW w:w="88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BXHJ8003</w:t>
            </w:r>
            <w:r>
              <w:rPr>
                <w:rFonts w:hint="eastAsia" w:cs="Times New Roman" w:asciiTheme="minorEastAsia" w:hAnsiTheme="minorEastAsia"/>
                <w:szCs w:val="21"/>
              </w:rPr>
              <w:t>99</w:t>
            </w:r>
          </w:p>
        </w:tc>
        <w:tc>
          <w:tcPr>
            <w:tcW w:w="1317" w:type="pct"/>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学术活动（讲座）博</w:t>
            </w:r>
          </w:p>
        </w:tc>
        <w:tc>
          <w:tcPr>
            <w:tcW w:w="46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2（硕1）</w:t>
            </w:r>
          </w:p>
        </w:tc>
        <w:tc>
          <w:tcPr>
            <w:tcW w:w="690" w:type="pct"/>
            <w:vMerge w:val="restar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17学分</w:t>
            </w:r>
          </w:p>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56"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665"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001987</w:t>
            </w:r>
          </w:p>
        </w:tc>
        <w:tc>
          <w:tcPr>
            <w:tcW w:w="88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BXHJ6006</w:t>
            </w:r>
            <w:r>
              <w:rPr>
                <w:rFonts w:hint="eastAsia" w:cs="Times New Roman" w:asciiTheme="minorEastAsia" w:hAnsiTheme="minorEastAsia"/>
                <w:szCs w:val="21"/>
              </w:rPr>
              <w:t>99</w:t>
            </w:r>
          </w:p>
        </w:tc>
        <w:tc>
          <w:tcPr>
            <w:tcW w:w="1317" w:type="pct"/>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社会实践</w:t>
            </w:r>
          </w:p>
        </w:tc>
        <w:tc>
          <w:tcPr>
            <w:tcW w:w="46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1（硕1）</w:t>
            </w:r>
          </w:p>
        </w:tc>
        <w:tc>
          <w:tcPr>
            <w:tcW w:w="690"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56"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3</w:t>
            </w:r>
          </w:p>
        </w:tc>
        <w:tc>
          <w:tcPr>
            <w:tcW w:w="665"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001972</w:t>
            </w:r>
          </w:p>
        </w:tc>
        <w:tc>
          <w:tcPr>
            <w:tcW w:w="88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BXHJ8007</w:t>
            </w:r>
            <w:r>
              <w:rPr>
                <w:rFonts w:hint="eastAsia" w:cs="Times New Roman" w:asciiTheme="minorEastAsia" w:hAnsiTheme="minorEastAsia"/>
                <w:szCs w:val="21"/>
              </w:rPr>
              <w:t>99</w:t>
            </w:r>
          </w:p>
        </w:tc>
        <w:tc>
          <w:tcPr>
            <w:tcW w:w="1317" w:type="pct"/>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两助一辅</w:t>
            </w:r>
          </w:p>
        </w:tc>
        <w:tc>
          <w:tcPr>
            <w:tcW w:w="46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690"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56"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4</w:t>
            </w:r>
          </w:p>
        </w:tc>
        <w:tc>
          <w:tcPr>
            <w:tcW w:w="665"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001995</w:t>
            </w:r>
          </w:p>
        </w:tc>
        <w:tc>
          <w:tcPr>
            <w:tcW w:w="88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BXHJ8002</w:t>
            </w:r>
            <w:r>
              <w:rPr>
                <w:rFonts w:hint="eastAsia" w:cs="Times New Roman" w:asciiTheme="minorEastAsia" w:hAnsiTheme="minorEastAsia"/>
                <w:szCs w:val="21"/>
              </w:rPr>
              <w:t>99</w:t>
            </w:r>
          </w:p>
        </w:tc>
        <w:tc>
          <w:tcPr>
            <w:tcW w:w="1317" w:type="pct"/>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基金撰写</w:t>
            </w:r>
          </w:p>
        </w:tc>
        <w:tc>
          <w:tcPr>
            <w:tcW w:w="46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690"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56"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5</w:t>
            </w:r>
          </w:p>
        </w:tc>
        <w:tc>
          <w:tcPr>
            <w:tcW w:w="665"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001970</w:t>
            </w:r>
          </w:p>
        </w:tc>
        <w:tc>
          <w:tcPr>
            <w:tcW w:w="88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BXHJ8009</w:t>
            </w:r>
            <w:r>
              <w:rPr>
                <w:rFonts w:hint="eastAsia" w:cs="Times New Roman" w:asciiTheme="minorEastAsia" w:hAnsiTheme="minorEastAsia"/>
                <w:szCs w:val="21"/>
              </w:rPr>
              <w:t>99</w:t>
            </w:r>
          </w:p>
        </w:tc>
        <w:tc>
          <w:tcPr>
            <w:tcW w:w="1317" w:type="pct"/>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国际化交流</w:t>
            </w:r>
          </w:p>
        </w:tc>
        <w:tc>
          <w:tcPr>
            <w:tcW w:w="46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690"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56"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6</w:t>
            </w:r>
          </w:p>
        </w:tc>
        <w:tc>
          <w:tcPr>
            <w:tcW w:w="665"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cs="Times New Roman" w:asciiTheme="minorEastAsia" w:hAnsiTheme="minorEastAsia"/>
                <w:szCs w:val="21"/>
              </w:rPr>
              <w:t>001986</w:t>
            </w:r>
          </w:p>
        </w:tc>
        <w:tc>
          <w:tcPr>
            <w:tcW w:w="88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BXHJ8004</w:t>
            </w:r>
            <w:r>
              <w:rPr>
                <w:rFonts w:hint="eastAsia" w:cs="Times New Roman" w:asciiTheme="minorEastAsia" w:hAnsiTheme="minorEastAsia"/>
                <w:szCs w:val="21"/>
              </w:rPr>
              <w:t>99</w:t>
            </w:r>
          </w:p>
        </w:tc>
        <w:tc>
          <w:tcPr>
            <w:tcW w:w="1317" w:type="pct"/>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开题报告（博）</w:t>
            </w:r>
          </w:p>
        </w:tc>
        <w:tc>
          <w:tcPr>
            <w:tcW w:w="46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2（硕1）</w:t>
            </w:r>
          </w:p>
        </w:tc>
        <w:tc>
          <w:tcPr>
            <w:tcW w:w="690"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56"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7</w:t>
            </w:r>
          </w:p>
        </w:tc>
        <w:tc>
          <w:tcPr>
            <w:tcW w:w="665"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001994</w:t>
            </w:r>
          </w:p>
        </w:tc>
        <w:tc>
          <w:tcPr>
            <w:tcW w:w="88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BXHJ8001</w:t>
            </w:r>
            <w:r>
              <w:rPr>
                <w:rFonts w:hint="eastAsia" w:cs="Times New Roman" w:asciiTheme="minorEastAsia" w:hAnsiTheme="minorEastAsia"/>
                <w:szCs w:val="21"/>
              </w:rPr>
              <w:t>99</w:t>
            </w:r>
          </w:p>
        </w:tc>
        <w:tc>
          <w:tcPr>
            <w:tcW w:w="1317" w:type="pct"/>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中期考核（博）</w:t>
            </w:r>
          </w:p>
        </w:tc>
        <w:tc>
          <w:tcPr>
            <w:tcW w:w="461"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cs="Times New Roman"/>
                <w:szCs w:val="21"/>
              </w:rPr>
            </w:pPr>
            <w:r>
              <w:rPr>
                <w:rFonts w:ascii="Times New Roman" w:hAnsi="Times New Roman" w:cs="Times New Roman"/>
                <w:szCs w:val="21"/>
              </w:rPr>
              <w:t>6（硕3）</w:t>
            </w:r>
          </w:p>
        </w:tc>
        <w:tc>
          <w:tcPr>
            <w:tcW w:w="690"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56"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8</w:t>
            </w:r>
          </w:p>
        </w:tc>
        <w:tc>
          <w:tcPr>
            <w:tcW w:w="665"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001971</w:t>
            </w:r>
          </w:p>
        </w:tc>
        <w:tc>
          <w:tcPr>
            <w:tcW w:w="88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INFT600499</w:t>
            </w:r>
          </w:p>
        </w:tc>
        <w:tc>
          <w:tcPr>
            <w:tcW w:w="1317" w:type="pct"/>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ascii="Times New Roman" w:hAnsi="Times New Roman" w:cs="Times New Roman"/>
                <w:szCs w:val="21"/>
              </w:rPr>
              <w:t>文献阅读</w:t>
            </w:r>
          </w:p>
        </w:tc>
        <w:tc>
          <w:tcPr>
            <w:tcW w:w="461" w:type="pct"/>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690"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56"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9</w:t>
            </w:r>
          </w:p>
        </w:tc>
        <w:tc>
          <w:tcPr>
            <w:tcW w:w="665"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001954</w:t>
            </w:r>
          </w:p>
        </w:tc>
        <w:tc>
          <w:tcPr>
            <w:tcW w:w="88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B</w:t>
            </w:r>
            <w:r>
              <w:rPr>
                <w:rFonts w:cs="Times New Roman" w:asciiTheme="minorEastAsia" w:hAnsiTheme="minorEastAsia"/>
                <w:szCs w:val="21"/>
              </w:rPr>
              <w:t>XHJ602499</w:t>
            </w:r>
          </w:p>
        </w:tc>
        <w:tc>
          <w:tcPr>
            <w:tcW w:w="1317" w:type="pct"/>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szCs w:val="21"/>
              </w:rPr>
            </w:pPr>
            <w:r>
              <w:rPr>
                <w:rFonts w:hint="eastAsia" w:cs="Times New Roman" w:asciiTheme="minorEastAsia" w:hAnsiTheme="minorEastAsia"/>
                <w:szCs w:val="21"/>
              </w:rPr>
              <w:t>劳动教育</w:t>
            </w:r>
          </w:p>
        </w:tc>
        <w:tc>
          <w:tcPr>
            <w:tcW w:w="461" w:type="pct"/>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0</w:t>
            </w:r>
          </w:p>
        </w:tc>
        <w:tc>
          <w:tcPr>
            <w:tcW w:w="690"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56"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10</w:t>
            </w:r>
          </w:p>
        </w:tc>
        <w:tc>
          <w:tcPr>
            <w:tcW w:w="665"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001955</w:t>
            </w:r>
          </w:p>
        </w:tc>
        <w:tc>
          <w:tcPr>
            <w:tcW w:w="88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B</w:t>
            </w:r>
            <w:r>
              <w:rPr>
                <w:rFonts w:cs="Times New Roman" w:asciiTheme="minorEastAsia" w:hAnsiTheme="minorEastAsia"/>
                <w:szCs w:val="21"/>
              </w:rPr>
              <w:t>XHJ602399</w:t>
            </w:r>
          </w:p>
        </w:tc>
        <w:tc>
          <w:tcPr>
            <w:tcW w:w="1317" w:type="pct"/>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cs="Times New Roman" w:asciiTheme="minorEastAsia" w:hAnsiTheme="minorEastAsia"/>
                <w:szCs w:val="21"/>
              </w:rPr>
            </w:pPr>
            <w:r>
              <w:rPr>
                <w:rFonts w:hint="eastAsia" w:cs="Times New Roman" w:asciiTheme="minorEastAsia" w:hAnsiTheme="minorEastAsia"/>
                <w:szCs w:val="21"/>
              </w:rPr>
              <w:t>美育</w:t>
            </w:r>
          </w:p>
        </w:tc>
        <w:tc>
          <w:tcPr>
            <w:tcW w:w="461" w:type="pct"/>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0</w:t>
            </w:r>
          </w:p>
        </w:tc>
        <w:tc>
          <w:tcPr>
            <w:tcW w:w="690"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25"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b/>
                <w:bCs/>
                <w:szCs w:val="21"/>
              </w:rPr>
            </w:pPr>
          </w:p>
        </w:tc>
        <w:tc>
          <w:tcPr>
            <w:tcW w:w="356"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11</w:t>
            </w:r>
          </w:p>
        </w:tc>
        <w:tc>
          <w:tcPr>
            <w:tcW w:w="665"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001956</w:t>
            </w:r>
          </w:p>
        </w:tc>
        <w:tc>
          <w:tcPr>
            <w:tcW w:w="883" w:type="pct"/>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B</w:t>
            </w:r>
            <w:r>
              <w:rPr>
                <w:rFonts w:cs="Times New Roman" w:asciiTheme="minorEastAsia" w:hAnsiTheme="minorEastAsia"/>
                <w:szCs w:val="21"/>
              </w:rPr>
              <w:t>XHJ602299</w:t>
            </w:r>
          </w:p>
        </w:tc>
        <w:tc>
          <w:tcPr>
            <w:tcW w:w="1317" w:type="pct"/>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cs="Times New Roman" w:asciiTheme="minorEastAsia" w:hAnsiTheme="minorEastAsia"/>
                <w:szCs w:val="21"/>
              </w:rPr>
            </w:pPr>
            <w:r>
              <w:rPr>
                <w:rFonts w:hint="eastAsia" w:cs="Times New Roman" w:asciiTheme="minorEastAsia" w:hAnsiTheme="minorEastAsia"/>
                <w:szCs w:val="21"/>
              </w:rPr>
              <w:t>体育</w:t>
            </w:r>
          </w:p>
        </w:tc>
        <w:tc>
          <w:tcPr>
            <w:tcW w:w="461" w:type="pct"/>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0</w:t>
            </w:r>
          </w:p>
        </w:tc>
        <w:tc>
          <w:tcPr>
            <w:tcW w:w="690" w:type="pct"/>
            <w:vMerge w:val="continue"/>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Times New Roman" w:hAnsi="Times New Roman" w:cs="Times New Roman"/>
                <w:szCs w:val="21"/>
              </w:rPr>
            </w:pPr>
          </w:p>
        </w:tc>
      </w:tr>
    </w:tbl>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r>
        <w:rPr>
          <w:rFonts w:ascii="黑体" w:hAnsi="黑体" w:eastAsia="黑体"/>
          <w:sz w:val="24"/>
          <w:szCs w:val="24"/>
        </w:rPr>
        <w:t>六、</w:t>
      </w:r>
      <w:r>
        <w:rPr>
          <w:rFonts w:hint="eastAsia" w:ascii="黑体" w:hAnsi="黑体" w:eastAsia="黑体"/>
          <w:sz w:val="24"/>
          <w:szCs w:val="24"/>
        </w:rPr>
        <w:t>必修</w:t>
      </w:r>
      <w:r>
        <w:rPr>
          <w:rFonts w:ascii="黑体" w:hAnsi="黑体" w:eastAsia="黑体"/>
          <w:sz w:val="24"/>
          <w:szCs w:val="24"/>
        </w:rPr>
        <w:t>环节</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．学</w:t>
      </w:r>
      <w:r>
        <w:rPr>
          <w:rFonts w:ascii="Times New Roman" w:hAnsi="Times New Roman" w:eastAsia="宋体" w:cs="Times New Roman"/>
          <w:b/>
          <w:bCs/>
          <w:szCs w:val="21"/>
        </w:rPr>
        <w:t>术活动（讲座）</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硕博贯通</w:t>
      </w:r>
      <w:r>
        <w:rPr>
          <w:rFonts w:ascii="Times New Roman" w:hAnsi="Times New Roman" w:eastAsia="宋体" w:cs="Times New Roman"/>
          <w:szCs w:val="21"/>
        </w:rPr>
        <w:t>研究生学术活动（讲座）分为必听讲座和选听讲座。必听讲座为</w:t>
      </w:r>
      <w:r>
        <w:rPr>
          <w:rFonts w:cs="Times New Roman" w:asciiTheme="minorEastAsia" w:hAnsiTheme="minorEastAsia"/>
          <w:szCs w:val="21"/>
        </w:rPr>
        <w:t>“科学道德与学风建设”</w:t>
      </w:r>
      <w:r>
        <w:rPr>
          <w:rFonts w:ascii="Times New Roman" w:hAnsi="Times New Roman" w:eastAsia="宋体" w:cs="Times New Roman"/>
          <w:szCs w:val="21"/>
        </w:rPr>
        <w:t>；选听讲座包括与学科紧密相关</w:t>
      </w:r>
      <w:r>
        <w:rPr>
          <w:rFonts w:cs="Times New Roman" w:asciiTheme="minorEastAsia" w:hAnsiTheme="minorEastAsia"/>
          <w:szCs w:val="21"/>
        </w:rPr>
        <w:t>的“学</w:t>
      </w:r>
      <w:r>
        <w:rPr>
          <w:rFonts w:ascii="Times New Roman" w:hAnsi="Times New Roman" w:eastAsia="宋体" w:cs="Times New Roman"/>
          <w:szCs w:val="21"/>
        </w:rPr>
        <w:t>科前沿系列专题</w:t>
      </w:r>
      <w:r>
        <w:rPr>
          <w:rFonts w:cs="Times New Roman" w:asciiTheme="minorEastAsia" w:hAnsiTheme="minorEastAsia"/>
          <w:szCs w:val="21"/>
        </w:rPr>
        <w:t>讲座”（</w:t>
      </w:r>
      <w:r>
        <w:rPr>
          <w:rFonts w:ascii="Times New Roman" w:hAnsi="Times New Roman" w:eastAsia="宋体" w:cs="Times New Roman"/>
          <w:szCs w:val="21"/>
        </w:rPr>
        <w:t>由各二级学科组织若干教授对本学科前沿知识进行讲座，每个讲座由5个以上讲座组成）一个系列和在全校范围内选听</w:t>
      </w:r>
      <w:r>
        <w:rPr>
          <w:rFonts w:cs="Times New Roman" w:asciiTheme="minorEastAsia" w:hAnsiTheme="minorEastAsia"/>
          <w:szCs w:val="21"/>
        </w:rPr>
        <w:t>“学术讲座”</w:t>
      </w:r>
      <w:r>
        <w:rPr>
          <w:rFonts w:ascii="Times New Roman" w:hAnsi="Times New Roman" w:eastAsia="宋体" w:cs="Times New Roman"/>
          <w:szCs w:val="21"/>
        </w:rPr>
        <w:t>1次，自己公开讲座1次，完成后记2学分</w:t>
      </w:r>
      <w:r>
        <w:rPr>
          <w:rFonts w:hint="eastAsia"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w:t>
      </w:r>
      <w:r>
        <w:rPr>
          <w:rFonts w:ascii="Times New Roman" w:hAnsi="Times New Roman" w:eastAsia="宋体" w:cs="Times New Roman"/>
          <w:b/>
          <w:bCs/>
          <w:szCs w:val="21"/>
        </w:rPr>
        <w:t>社会实践</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w:t>
      </w:r>
      <w:r>
        <w:rPr>
          <w:rFonts w:cs="Times New Roman" w:asciiTheme="minorEastAsia" w:hAnsiTheme="minorEastAsia"/>
          <w:szCs w:val="21"/>
        </w:rPr>
        <w:t>社会实践</w:t>
      </w:r>
      <w:r>
        <w:rPr>
          <w:rFonts w:hint="eastAsia" w:cs="Times New Roman" w:asciiTheme="minorEastAsia" w:hAnsiTheme="minorEastAsia"/>
          <w:szCs w:val="21"/>
        </w:rPr>
        <w:t>”</w:t>
      </w:r>
      <w:r>
        <w:rPr>
          <w:rFonts w:cs="Times New Roman" w:asciiTheme="minorEastAsia" w:hAnsiTheme="minorEastAsia"/>
          <w:szCs w:val="21"/>
        </w:rPr>
        <w:t>是指研究生在校学习期间，除完成本学科规定的业务实践外，接触社会、了解社会、服务社会的实践活动。</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可以通过组织和参与社会调查、支教、扶贫及其他志愿者服务等方式进行，提倡以小组或团队形式开展活动，累计不少于</w:t>
      </w:r>
      <w:r>
        <w:rPr>
          <w:rFonts w:ascii="Times New Roman" w:hAnsi="Times New Roman" w:cs="Times New Roman"/>
          <w:szCs w:val="21"/>
        </w:rPr>
        <w:t>10</w:t>
      </w:r>
      <w:r>
        <w:rPr>
          <w:rFonts w:cs="Times New Roman" w:asciiTheme="minorEastAsia" w:hAnsiTheme="minorEastAsia"/>
          <w:szCs w:val="21"/>
        </w:rPr>
        <w:t>个工作日。</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研</w:t>
      </w:r>
      <w:r>
        <w:rPr>
          <w:rFonts w:cs="Times New Roman" w:asciiTheme="minorEastAsia" w:hAnsiTheme="minorEastAsia"/>
          <w:spacing w:val="-2"/>
          <w:szCs w:val="21"/>
        </w:rPr>
        <w:t>究生完成</w:t>
      </w:r>
      <w:r>
        <w:rPr>
          <w:rFonts w:hint="eastAsia" w:cs="Times New Roman" w:asciiTheme="minorEastAsia" w:hAnsiTheme="minorEastAsia"/>
          <w:spacing w:val="-2"/>
          <w:szCs w:val="21"/>
        </w:rPr>
        <w:t>“</w:t>
      </w:r>
      <w:r>
        <w:rPr>
          <w:rFonts w:cs="Times New Roman" w:asciiTheme="minorEastAsia" w:hAnsiTheme="minorEastAsia"/>
          <w:spacing w:val="-2"/>
          <w:szCs w:val="21"/>
        </w:rPr>
        <w:t>社会实践</w:t>
      </w:r>
      <w:r>
        <w:rPr>
          <w:rFonts w:hint="eastAsia" w:cs="Times New Roman" w:asciiTheme="minorEastAsia" w:hAnsiTheme="minorEastAsia"/>
          <w:spacing w:val="-2"/>
          <w:szCs w:val="21"/>
        </w:rPr>
        <w:t>”</w:t>
      </w:r>
      <w:r>
        <w:rPr>
          <w:rFonts w:cs="Times New Roman" w:asciiTheme="minorEastAsia" w:hAnsiTheme="minorEastAsia"/>
          <w:spacing w:val="-2"/>
          <w:szCs w:val="21"/>
        </w:rPr>
        <w:t>活动后，需撰写不少于</w:t>
      </w:r>
      <w:r>
        <w:rPr>
          <w:rFonts w:ascii="Times New Roman" w:hAnsi="Times New Roman" w:cs="Times New Roman"/>
          <w:spacing w:val="-2"/>
          <w:szCs w:val="21"/>
        </w:rPr>
        <w:t>3000</w:t>
      </w:r>
      <w:r>
        <w:rPr>
          <w:rFonts w:cs="Times New Roman" w:asciiTheme="minorEastAsia" w:hAnsiTheme="minorEastAsia"/>
          <w:spacing w:val="-2"/>
          <w:szCs w:val="21"/>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rFonts w:ascii="Times New Roman" w:hAnsi="Times New Roman" w:cs="Times New Roman"/>
          <w:spacing w:val="-2"/>
          <w:szCs w:val="21"/>
        </w:rPr>
        <w:t>1</w:t>
      </w:r>
      <w:r>
        <w:rPr>
          <w:rFonts w:cs="Times New Roman" w:asciiTheme="minorEastAsia" w:hAnsiTheme="minorEastAsia"/>
          <w:spacing w:val="-2"/>
          <w:szCs w:val="21"/>
        </w:rPr>
        <w:t>学分。</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w:t>
      </w:r>
      <w:r>
        <w:rPr>
          <w:rFonts w:ascii="Times New Roman" w:hAnsi="Times New Roman" w:eastAsia="宋体" w:cs="Times New Roman"/>
          <w:b/>
          <w:bCs/>
          <w:szCs w:val="21"/>
        </w:rPr>
        <w:t>两助一辅</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w:t>
      </w:r>
      <w:r>
        <w:rPr>
          <w:rFonts w:cs="Times New Roman" w:asciiTheme="minorEastAsia" w:hAnsiTheme="minorEastAsia"/>
          <w:szCs w:val="21"/>
        </w:rPr>
        <w:t>两助一辅</w:t>
      </w:r>
      <w:r>
        <w:rPr>
          <w:rFonts w:hint="eastAsia" w:cs="Times New Roman" w:asciiTheme="minorEastAsia" w:hAnsiTheme="minorEastAsia"/>
          <w:szCs w:val="21"/>
        </w:rPr>
        <w:t>”</w:t>
      </w:r>
      <w:r>
        <w:rPr>
          <w:rFonts w:cs="Times New Roman" w:asciiTheme="minorEastAsia" w:hAnsiTheme="minorEastAsia"/>
          <w:szCs w:val="21"/>
        </w:rPr>
        <w:t>是指研究生担任助教、助管和辅导员工作，其目的是培养研究生的综合能力，是研究生培养过程的有机组成部分。</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全日制博士研究生在培养过程中必须完成至少一个标准岗位的助教、助管或辅导员工作。该环节纳入学分管理，通过后记</w:t>
      </w:r>
      <w:r>
        <w:rPr>
          <w:rFonts w:ascii="Times New Roman" w:hAnsi="Times New Roman" w:cs="Times New Roman"/>
          <w:szCs w:val="21"/>
        </w:rPr>
        <w:t>2</w:t>
      </w:r>
      <w:r>
        <w:rPr>
          <w:rFonts w:cs="Times New Roman" w:asciiTheme="minorEastAsia" w:hAnsiTheme="minorEastAsia"/>
          <w:szCs w:val="21"/>
        </w:rPr>
        <w:t>学分。</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4</w:t>
      </w:r>
      <w:r>
        <w:rPr>
          <w:rFonts w:hint="eastAsia" w:ascii="Times New Roman" w:hAnsi="Times New Roman" w:eastAsia="宋体" w:cs="Times New Roman"/>
          <w:b/>
          <w:bCs/>
          <w:szCs w:val="21"/>
        </w:rPr>
        <w:t>．</w:t>
      </w:r>
      <w:r>
        <w:rPr>
          <w:rFonts w:ascii="Times New Roman" w:hAnsi="Times New Roman" w:eastAsia="宋体" w:cs="Times New Roman"/>
          <w:b/>
          <w:bCs/>
          <w:szCs w:val="21"/>
        </w:rPr>
        <w:t>基金撰写</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kern w:val="0"/>
          <w:szCs w:val="21"/>
        </w:rPr>
      </w:pPr>
      <w:r>
        <w:rPr>
          <w:rFonts w:hint="eastAsia" w:ascii="Times New Roman" w:hAnsi="Times New Roman" w:eastAsia="宋体" w:cs="Times New Roman"/>
          <w:szCs w:val="21"/>
        </w:rPr>
        <w:t>硕博贯通</w:t>
      </w:r>
      <w:r>
        <w:rPr>
          <w:rFonts w:cs="Times New Roman" w:asciiTheme="minorEastAsia" w:hAnsiTheme="minorEastAsia"/>
          <w:szCs w:val="21"/>
        </w:rPr>
        <w:t>研究生在学习期间，须在导师指导下，完成一项国家科研基金申请书的撰写，培养博士生申请科研项目的能力，导师同意通过后，记</w:t>
      </w:r>
      <w:r>
        <w:rPr>
          <w:rFonts w:ascii="Times New Roman" w:hAnsi="Times New Roman" w:cs="Times New Roman"/>
          <w:szCs w:val="21"/>
        </w:rPr>
        <w:t>1</w:t>
      </w:r>
      <w:r>
        <w:rPr>
          <w:rFonts w:cs="Times New Roman" w:asciiTheme="minorEastAsia" w:hAnsiTheme="minorEastAsia"/>
          <w:szCs w:val="21"/>
        </w:rPr>
        <w:t>学分。</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5</w:t>
      </w:r>
      <w:r>
        <w:rPr>
          <w:rFonts w:hint="eastAsia" w:ascii="Times New Roman" w:hAnsi="Times New Roman" w:eastAsia="宋体" w:cs="Times New Roman"/>
          <w:b/>
          <w:bCs/>
          <w:szCs w:val="21"/>
        </w:rPr>
        <w:t>．</w:t>
      </w:r>
      <w:r>
        <w:rPr>
          <w:rFonts w:ascii="Times New Roman" w:hAnsi="Times New Roman" w:eastAsia="宋体" w:cs="Times New Roman"/>
          <w:b/>
          <w:bCs/>
          <w:szCs w:val="21"/>
        </w:rPr>
        <w:t>国际化交流</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kern w:val="0"/>
          <w:szCs w:val="21"/>
        </w:rPr>
        <w:t>立足于培养</w:t>
      </w:r>
      <w:r>
        <w:rPr>
          <w:rFonts w:hint="eastAsia" w:ascii="Times New Roman" w:hAnsi="Times New Roman" w:eastAsia="宋体" w:cs="Times New Roman"/>
          <w:szCs w:val="21"/>
        </w:rPr>
        <w:t>硕博贯通</w:t>
      </w:r>
      <w:r>
        <w:rPr>
          <w:rFonts w:cs="Times New Roman" w:asciiTheme="minorEastAsia" w:hAnsiTheme="minorEastAsia"/>
          <w:kern w:val="0"/>
          <w:szCs w:val="21"/>
        </w:rPr>
        <w:t>研究生的全球化视野，</w:t>
      </w:r>
      <w:r>
        <w:rPr>
          <w:rFonts w:cs="Times New Roman" w:asciiTheme="minorEastAsia" w:hAnsiTheme="minorEastAsia"/>
          <w:szCs w:val="21"/>
        </w:rPr>
        <w:t>研究生在校期间，达到以下条件之一记1学分：</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1</w:t>
      </w:r>
      <w:r>
        <w:rPr>
          <w:rFonts w:cs="Times New Roman" w:asciiTheme="minorEastAsia" w:hAnsiTheme="minorEastAsia"/>
          <w:szCs w:val="21"/>
        </w:rPr>
        <w:t>）</w:t>
      </w:r>
      <w:r>
        <w:rPr>
          <w:rFonts w:hint="eastAsia" w:ascii="Times New Roman" w:hAnsi="Times New Roman" w:cs="Times New Roman"/>
          <w:szCs w:val="21"/>
        </w:rPr>
        <w:t>CSC</w:t>
      </w:r>
      <w:r>
        <w:rPr>
          <w:rFonts w:hint="eastAsia" w:cs="Times New Roman" w:asciiTheme="minorEastAsia" w:hAnsiTheme="minorEastAsia"/>
          <w:szCs w:val="21"/>
        </w:rPr>
        <w:t>项目；</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2</w:t>
      </w:r>
      <w:r>
        <w:rPr>
          <w:rFonts w:cs="Times New Roman" w:asciiTheme="minorEastAsia" w:hAnsiTheme="minorEastAsia"/>
          <w:szCs w:val="21"/>
        </w:rPr>
        <w:t>）</w:t>
      </w:r>
      <w:r>
        <w:rPr>
          <w:rFonts w:hint="eastAsia" w:cs="Times New Roman" w:asciiTheme="minorEastAsia" w:hAnsiTheme="minorEastAsia"/>
          <w:szCs w:val="21"/>
        </w:rPr>
        <w:t>与国（境）外</w:t>
      </w:r>
      <w:r>
        <w:rPr>
          <w:rFonts w:cs="Times New Roman" w:asciiTheme="minorEastAsia" w:hAnsiTheme="minorEastAsia"/>
          <w:szCs w:val="21"/>
        </w:rPr>
        <w:t>联合培养；</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3</w:t>
      </w:r>
      <w:r>
        <w:rPr>
          <w:rFonts w:cs="Times New Roman" w:asciiTheme="minorEastAsia" w:hAnsiTheme="minorEastAsia"/>
          <w:szCs w:val="21"/>
        </w:rPr>
        <w:t>）</w:t>
      </w:r>
      <w:r>
        <w:rPr>
          <w:rFonts w:hint="eastAsia" w:cs="Times New Roman" w:asciiTheme="minorEastAsia" w:hAnsiTheme="minorEastAsia"/>
          <w:szCs w:val="21"/>
        </w:rPr>
        <w:t>国（境）外</w:t>
      </w:r>
      <w:r>
        <w:rPr>
          <w:rFonts w:cs="Times New Roman" w:asciiTheme="minorEastAsia" w:hAnsiTheme="minorEastAsia"/>
          <w:szCs w:val="21"/>
        </w:rPr>
        <w:t>短期出</w:t>
      </w:r>
      <w:r>
        <w:rPr>
          <w:rFonts w:hint="eastAsia" w:cs="Times New Roman" w:asciiTheme="minorEastAsia" w:hAnsiTheme="minorEastAsia"/>
          <w:szCs w:val="21"/>
        </w:rPr>
        <w:t>访、国际组织实习（三个月以上）；</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4</w:t>
      </w:r>
      <w:r>
        <w:rPr>
          <w:rFonts w:cs="Times New Roman" w:asciiTheme="minorEastAsia" w:hAnsiTheme="minorEastAsia"/>
          <w:szCs w:val="21"/>
        </w:rPr>
        <w:t>）国内外举办的</w:t>
      </w:r>
      <w:r>
        <w:rPr>
          <w:rFonts w:hint="eastAsia" w:cs="Times New Roman" w:asciiTheme="minorEastAsia" w:hAnsiTheme="minorEastAsia"/>
          <w:szCs w:val="21"/>
        </w:rPr>
        <w:t>高水平</w:t>
      </w:r>
      <w:r>
        <w:rPr>
          <w:rFonts w:cs="Times New Roman" w:asciiTheme="minorEastAsia" w:hAnsiTheme="minorEastAsia"/>
          <w:szCs w:val="21"/>
        </w:rPr>
        <w:t>国际</w:t>
      </w:r>
      <w:r>
        <w:rPr>
          <w:rFonts w:hint="eastAsia" w:cs="Times New Roman" w:asciiTheme="minorEastAsia" w:hAnsiTheme="minorEastAsia"/>
          <w:szCs w:val="21"/>
        </w:rPr>
        <w:t>学术</w:t>
      </w:r>
      <w:r>
        <w:rPr>
          <w:rFonts w:cs="Times New Roman" w:asciiTheme="minorEastAsia" w:hAnsiTheme="minorEastAsia"/>
          <w:szCs w:val="21"/>
        </w:rPr>
        <w:t>会议（参加、投稿被书面收录、壁报、小组发言、大会发言，均被认可，但需提供详细的书面证明邀请信、参会照片、收录节选、壁报展示及照片、小组发言或大会发言照片等）；</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5</w:t>
      </w:r>
      <w:r>
        <w:rPr>
          <w:rFonts w:ascii="Times New Roman" w:hAnsi="Times New Roman" w:cs="Times New Roman"/>
          <w:szCs w:val="21"/>
        </w:rPr>
        <w:t>）</w:t>
      </w:r>
      <w:r>
        <w:rPr>
          <w:rFonts w:hint="eastAsia" w:cs="Times New Roman" w:asciiTheme="minorEastAsia" w:hAnsiTheme="minorEastAsia"/>
          <w:szCs w:val="21"/>
        </w:rPr>
        <w:t>选修国外高校全英文在线课程（</w:t>
      </w:r>
      <w:r>
        <w:rPr>
          <w:rFonts w:hint="eastAsia" w:ascii="Times New Roman" w:hAnsi="Times New Roman" w:cs="Times New Roman"/>
          <w:szCs w:val="21"/>
        </w:rPr>
        <w:t>MOOC</w:t>
      </w:r>
      <w:r>
        <w:rPr>
          <w:rFonts w:hint="eastAsia" w:cs="Times New Roman" w:asciiTheme="minorEastAsia" w:hAnsiTheme="minorEastAsia"/>
          <w:szCs w:val="21"/>
        </w:rPr>
        <w:t>），并取得合格证书；</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6</w:t>
      </w:r>
      <w:r>
        <w:rPr>
          <w:rFonts w:cs="Times New Roman" w:asciiTheme="minorEastAsia" w:hAnsiTheme="minorEastAsia"/>
          <w:szCs w:val="21"/>
        </w:rPr>
        <w:t>）</w:t>
      </w:r>
      <w:r>
        <w:rPr>
          <w:rFonts w:hint="eastAsia" w:cs="Times New Roman" w:asciiTheme="minorEastAsia" w:hAnsiTheme="minorEastAsia"/>
          <w:szCs w:val="21"/>
        </w:rPr>
        <w:t>参加国际专业竞赛并获奖。</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6．文献</w:t>
      </w:r>
      <w:r>
        <w:rPr>
          <w:rFonts w:ascii="Times New Roman" w:hAnsi="Times New Roman" w:eastAsia="宋体" w:cs="Times New Roman"/>
          <w:b/>
          <w:bCs/>
          <w:szCs w:val="21"/>
        </w:rPr>
        <w:t>阅读</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博士研究生</w:t>
      </w:r>
      <w:r>
        <w:rPr>
          <w:rFonts w:ascii="Times New Roman" w:hAnsi="Times New Roman" w:eastAsia="宋体" w:cs="Times New Roman"/>
          <w:szCs w:val="21"/>
        </w:rPr>
        <w:t>在第</w:t>
      </w:r>
      <w:r>
        <w:rPr>
          <w:rFonts w:hint="eastAsia" w:ascii="Times New Roman" w:hAnsi="Times New Roman" w:eastAsia="宋体" w:cs="Times New Roman"/>
          <w:szCs w:val="21"/>
        </w:rPr>
        <w:t>三</w:t>
      </w:r>
      <w:r>
        <w:rPr>
          <w:rFonts w:ascii="Times New Roman" w:hAnsi="Times New Roman" w:eastAsia="宋体" w:cs="Times New Roman"/>
          <w:szCs w:val="21"/>
        </w:rPr>
        <w:t>学</w:t>
      </w:r>
      <w:r>
        <w:rPr>
          <w:rFonts w:hint="eastAsia" w:ascii="Times New Roman" w:hAnsi="Times New Roman" w:eastAsia="宋体" w:cs="Times New Roman"/>
          <w:szCs w:val="21"/>
        </w:rPr>
        <w:t>期</w:t>
      </w:r>
      <w:r>
        <w:rPr>
          <w:rFonts w:ascii="Times New Roman" w:hAnsi="Times New Roman" w:eastAsia="宋体" w:cs="Times New Roman"/>
          <w:szCs w:val="21"/>
        </w:rPr>
        <w:t>完成</w:t>
      </w:r>
      <w:r>
        <w:rPr>
          <w:rFonts w:hint="eastAsia" w:ascii="Times New Roman" w:hAnsi="Times New Roman" w:eastAsia="宋体" w:cs="Times New Roman"/>
          <w:szCs w:val="21"/>
        </w:rPr>
        <w:t>文献阅读</w:t>
      </w:r>
      <w:r>
        <w:rPr>
          <w:rFonts w:ascii="Times New Roman" w:hAnsi="Times New Roman" w:eastAsia="宋体" w:cs="Times New Roman"/>
          <w:szCs w:val="21"/>
        </w:rPr>
        <w:t>考核</w:t>
      </w:r>
      <w:r>
        <w:rPr>
          <w:rFonts w:hint="eastAsia" w:ascii="Times New Roman" w:hAnsi="Times New Roman" w:eastAsia="宋体" w:cs="Times New Roman"/>
          <w:szCs w:val="21"/>
        </w:rPr>
        <w:t>。</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文献阅读是引领研究生特别是博士生夯实学术根基、迅速进入学科专业研究领域和培养研究生科研素养的重要手段，是课程知识扩展和补充的重要方式。学生入学后</w:t>
      </w:r>
      <w:r>
        <w:rPr>
          <w:rFonts w:ascii="Times New Roman" w:hAnsi="Times New Roman" w:eastAsia="宋体" w:cs="Times New Roman"/>
          <w:szCs w:val="21"/>
        </w:rPr>
        <w:t>结合学科发展和论文研究方向，在导师指导下阅读国内外文献资料。</w:t>
      </w:r>
      <w:r>
        <w:rPr>
          <w:rFonts w:hint="eastAsia" w:ascii="Times New Roman" w:hAnsi="Times New Roman" w:eastAsia="宋体" w:cs="Times New Roman"/>
          <w:szCs w:val="21"/>
        </w:rPr>
        <w:t>考核形式采用提交文献综述形式（要求字数不少于</w:t>
      </w:r>
      <w:r>
        <w:rPr>
          <w:rFonts w:ascii="Times New Roman" w:hAnsi="Times New Roman" w:eastAsia="宋体" w:cs="Times New Roman"/>
          <w:szCs w:val="21"/>
        </w:rPr>
        <w:t>5000</w:t>
      </w:r>
      <w:r>
        <w:rPr>
          <w:rFonts w:hint="eastAsia" w:ascii="Times New Roman" w:hAnsi="Times New Roman" w:eastAsia="宋体" w:cs="Times New Roman"/>
          <w:szCs w:val="21"/>
        </w:rPr>
        <w:t>字，参考文献应包含中文文献和外文文献，综述文献不少于</w:t>
      </w:r>
      <w:r>
        <w:rPr>
          <w:rFonts w:ascii="Times New Roman" w:hAnsi="Times New Roman" w:eastAsia="宋体" w:cs="Times New Roman"/>
          <w:szCs w:val="21"/>
        </w:rPr>
        <w:t>60</w:t>
      </w:r>
      <w:r>
        <w:rPr>
          <w:rFonts w:hint="eastAsia" w:ascii="Times New Roman" w:hAnsi="Times New Roman" w:eastAsia="宋体" w:cs="Times New Roman"/>
          <w:szCs w:val="21"/>
        </w:rPr>
        <w:t>篇），导师签字确认后提交，学院组织评审专家对综述报告的选题、格式、内容以及书面表达能力等进行评审，审核通过者，记</w:t>
      </w:r>
      <w:r>
        <w:rPr>
          <w:rFonts w:ascii="Times New Roman" w:hAnsi="Times New Roman" w:eastAsia="宋体" w:cs="Times New Roman"/>
          <w:szCs w:val="21"/>
        </w:rPr>
        <w:t>2</w:t>
      </w:r>
      <w:r>
        <w:rPr>
          <w:rFonts w:hint="eastAsia" w:ascii="Times New Roman" w:hAnsi="Times New Roman" w:eastAsia="宋体" w:cs="Times New Roman"/>
          <w:szCs w:val="21"/>
        </w:rPr>
        <w:t>学分。审核未通过者，按照专家审核意见完成修改后提交学院进行二次评审。经两次审核都未通过者，不记入学分。考核工作由医学部各学院统一安排。</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文献阅读考核需在博士生中期考核前完成考核。</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7</w:t>
      </w:r>
      <w:r>
        <w:rPr>
          <w:rFonts w:hint="eastAsia" w:ascii="Times New Roman" w:hAnsi="Times New Roman" w:eastAsia="宋体" w:cs="Times New Roman"/>
          <w:b/>
          <w:bCs/>
          <w:szCs w:val="21"/>
        </w:rPr>
        <w:t>．</w:t>
      </w:r>
      <w:r>
        <w:rPr>
          <w:rFonts w:ascii="Times New Roman" w:hAnsi="Times New Roman" w:eastAsia="宋体" w:cs="Times New Roman"/>
          <w:b/>
          <w:bCs/>
          <w:szCs w:val="21"/>
        </w:rPr>
        <w:t>开题报告</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硕博连读生，硕士阶段第二学年内完成博士资格考核，在进入博士阶段第一学年内完成开题报告；直博生，在第二学年内完成开题报告。</w:t>
      </w:r>
      <w:r>
        <w:rPr>
          <w:rFonts w:hint="eastAsia" w:cs="Times New Roman" w:asciiTheme="minorEastAsia" w:hAnsiTheme="minorEastAsia"/>
          <w:szCs w:val="21"/>
        </w:rPr>
        <w:t>具体时间由导师或院系决定，并上报学院（系）教学管理部门备案。从开题报告通过至申请论文答辩的时间一般不少于一年。开题报告由医学部各学院（系）组织，应以学术活动的形式在学院（系）内公开进行，并邀请相关教师和研究生参加。各学院（系）邀请本学院督导列席旁听并打分。开题报告评审专家小组由3-5名校内外博士生导师组成（导师及导师团队成员为主体）。考查内容包括：文献综述、选题意义与科学依据、研究基础、研究内容与计划、工作难点及特色、预期成果以及可能产生的创新点、论文选题与学科的匹配度等。经评审通过的开题报告，须以书面形式交医学部人才培养处审核备案。</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8</w:t>
      </w:r>
      <w:r>
        <w:rPr>
          <w:rFonts w:hint="eastAsia" w:ascii="Times New Roman" w:hAnsi="Times New Roman" w:eastAsia="宋体" w:cs="Times New Roman"/>
          <w:b/>
          <w:bCs/>
          <w:szCs w:val="21"/>
        </w:rPr>
        <w:t>．</w:t>
      </w:r>
      <w:r>
        <w:rPr>
          <w:rFonts w:ascii="Times New Roman" w:hAnsi="Times New Roman" w:eastAsia="宋体" w:cs="Times New Roman"/>
          <w:b/>
          <w:bCs/>
          <w:szCs w:val="21"/>
        </w:rPr>
        <w:t>中期考核</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中期考核一般安排在第四学期（贯通培养研究生转为博士生培养后可在第三学期，以直攻博方式进入贯通式培养体系的学生，自第三学年起至第四学年末完成中期考核）进行。中期考核由院系组织，应以学术活动的形式公开进行，考核小组由5-7名本学科或相关学科博士生导师组成。中期考核内容包括：学科基础综合考试（含学科基础文献集阅读）、业务表现与论文工作进展、论文选题与学科的匹配度、综合能力等方面。研究生提交由导师签字的课程成绩、课题研究进展报告等书面材料后，方可参加中期考核。中期考核所有评审材料，须在医学部人才培养处审核备案。</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博士研究生应按时参加中期考核，如有特殊情况需延期参加，须本人申请并获得批准后参加补考核，具体时间由医学部人才培养处确定。</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中期考核具体要求参照《西安交通大学关于博士研究生中期考核的若干规定》（西交研〔2014〕25号）执行。</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研究生的开题报告和中期报告中应包含实验安全风险评估的内容。</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9</w:t>
      </w:r>
      <w:r>
        <w:rPr>
          <w:rFonts w:hint="eastAsia" w:ascii="Times New Roman" w:hAnsi="Times New Roman" w:eastAsia="宋体" w:cs="Times New Roman"/>
          <w:b/>
          <w:bCs/>
          <w:szCs w:val="21"/>
        </w:rPr>
        <w:t>．</w:t>
      </w:r>
      <w:r>
        <w:rPr>
          <w:rFonts w:ascii="Times New Roman" w:hAnsi="Times New Roman" w:eastAsia="宋体" w:cs="Times New Roman"/>
          <w:b/>
          <w:bCs/>
          <w:szCs w:val="21"/>
        </w:rPr>
        <w:t>最终学术报告（预答辩）</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硕博贯通研究生完成学位论文后，须在医学部或医学部各院（系）范围内进行公开预答辩，报告自己的研究成果。预答辩专家组由5名本学科或相关学科专家组成，其中至少3人为博士生导师。各学院（系）邀请本学院督导或相关学科专家列席旁听。在预答辩中，须严格审查论文选题的前沿性、理论及现实意义，学位论文是否有独立见解，学位论文的工作量，研究工作的系统性、完整性，论文选题与学科的匹配度等。</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对预答辩中提出的问题，研究生应认真修改与补充，填写修改说明表，经导师签字同意并报预答辩专家组组长签字同意后，方可进入论文评阅、答辩环节。对于未获得通过的学位论文，博士研究生应修改后重新进行预答辩。</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对于未获得通过和</w:t>
      </w:r>
      <w:r>
        <w:rPr>
          <w:rFonts w:cs="Times New Roman" w:asciiTheme="minorEastAsia" w:hAnsiTheme="minorEastAsia"/>
          <w:szCs w:val="21"/>
        </w:rPr>
        <w:t>问题较多的学位论文要经过研究生修改后重新组织预答辩。</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预答辩具体参照《西安交通大学学位授予工作暂行办法》（西交研〔2003〕14号）执行。</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cs="Times New Roman" w:asciiTheme="minorEastAsia" w:hAnsiTheme="minorEastAsia"/>
          <w:b/>
          <w:bCs/>
          <w:szCs w:val="21"/>
        </w:rPr>
      </w:pPr>
      <w:r>
        <w:rPr>
          <w:rFonts w:cs="Times New Roman" w:asciiTheme="minorEastAsia" w:hAnsiTheme="minorEastAsia"/>
          <w:b/>
          <w:bCs/>
          <w:szCs w:val="21"/>
        </w:rPr>
        <w:t>10.体育、美育、劳动教育</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研究生依据当年的体育、美育、劳动教育研修指南，结合个人兴趣爱好和培养计划安排，制定个人体育、美育、劳动教育环节研修计划并开展研修，由体育、美育、劳动教育牵头单位对环节是否“通过”给予认定。</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11</w:t>
      </w:r>
      <w:r>
        <w:rPr>
          <w:rFonts w:hint="eastAsia" w:ascii="Times New Roman" w:hAnsi="Times New Roman" w:eastAsia="宋体" w:cs="Times New Roman"/>
          <w:b/>
          <w:bCs/>
          <w:szCs w:val="21"/>
        </w:rPr>
        <w:t>．</w:t>
      </w:r>
      <w:r>
        <w:rPr>
          <w:rFonts w:ascii="Times New Roman" w:hAnsi="Times New Roman" w:eastAsia="宋体" w:cs="Times New Roman"/>
          <w:b/>
          <w:bCs/>
          <w:szCs w:val="21"/>
        </w:rPr>
        <w:t>学术论文</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硕博贯通研究生</w:t>
      </w:r>
      <w:r>
        <w:rPr>
          <w:rFonts w:cs="Times New Roman" w:asciiTheme="minorEastAsia" w:hAnsiTheme="minorEastAsia"/>
          <w:szCs w:val="21"/>
        </w:rPr>
        <w:t>应在导师的指导下，根据研究方向确定研究课题，课题需结合国民经济发展需求和学科发展趋势，具有前瞻性和理论价值，达到本学科前沿，博士研究生应独立完成具有一定学术水平和价值的学位论文。论文答辩</w:t>
      </w:r>
      <w:r>
        <w:rPr>
          <w:rFonts w:hint="eastAsia" w:cs="Times New Roman" w:asciiTheme="minorEastAsia" w:hAnsiTheme="minorEastAsia"/>
          <w:szCs w:val="21"/>
        </w:rPr>
        <w:t>具体参照</w:t>
      </w:r>
      <w:r>
        <w:rPr>
          <w:rFonts w:cs="Times New Roman" w:asciiTheme="minorEastAsia" w:hAnsiTheme="minorEastAsia"/>
          <w:szCs w:val="21"/>
        </w:rPr>
        <w:t>《西安交通大学学位授予工作暂行办法》（西交研〔2003〕14号）执行。</w:t>
      </w:r>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r>
        <w:rPr>
          <w:rFonts w:hint="eastAsia" w:ascii="黑体" w:hAnsi="黑体" w:eastAsia="黑体"/>
          <w:sz w:val="24"/>
          <w:szCs w:val="24"/>
        </w:rPr>
        <w:t>七</w:t>
      </w:r>
      <w:r>
        <w:rPr>
          <w:rFonts w:ascii="黑体" w:hAnsi="黑体" w:eastAsia="黑体"/>
          <w:sz w:val="24"/>
          <w:szCs w:val="24"/>
        </w:rPr>
        <w:t>、分流机制</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bCs/>
          <w:szCs w:val="21"/>
        </w:rPr>
      </w:pPr>
      <w:r>
        <w:rPr>
          <w:rFonts w:cs="Times New Roman" w:asciiTheme="minorEastAsia" w:hAnsiTheme="minorEastAsia"/>
          <w:bCs/>
          <w:szCs w:val="21"/>
        </w:rPr>
        <w:t>硕博连读生未通过博士资格考核或审核的，按硕士研究生进行培养，最长年限为三学年；直博生未通过博士中期考核或因其他原因需停止按博士培养而转回硕士培养的，需在半年之内完成硕士培养要求，申请硕士毕业和学位。</w:t>
      </w:r>
    </w:p>
    <w:p>
      <w:pPr>
        <w:keepNext w:val="0"/>
        <w:keepLines w:val="0"/>
        <w:pageBreakBefore w:val="0"/>
        <w:widowControl w:val="0"/>
        <w:kinsoku/>
        <w:wordWrap/>
        <w:overflowPunct/>
        <w:topLinePunct w:val="0"/>
        <w:autoSpaceDE/>
        <w:autoSpaceDN/>
        <w:bidi w:val="0"/>
        <w:spacing w:before="120" w:beforeLines="50" w:after="120" w:afterLines="50" w:line="300" w:lineRule="auto"/>
        <w:ind w:firstLine="420" w:firstLineChars="200"/>
        <w:textAlignment w:val="auto"/>
        <w:rPr>
          <w:rFonts w:cs="Times New Roman" w:asciiTheme="minorEastAsia" w:hAnsiTheme="minorEastAsia"/>
          <w:szCs w:val="21"/>
        </w:rPr>
      </w:pPr>
      <w:r>
        <w:rPr>
          <w:rFonts w:cs="Times New Roman" w:asciiTheme="minorEastAsia" w:hAnsiTheme="minorEastAsia"/>
          <w:bCs/>
          <w:szCs w:val="21"/>
        </w:rPr>
        <w:t>硕博贯通研究生申请硕士学位的</w:t>
      </w:r>
      <w:r>
        <w:rPr>
          <w:rFonts w:hint="eastAsia" w:cs="Times New Roman" w:asciiTheme="minorEastAsia" w:hAnsiTheme="minorEastAsia"/>
          <w:bCs/>
          <w:szCs w:val="21"/>
        </w:rPr>
        <w:t>需修满29学分</w:t>
      </w:r>
      <w:r>
        <w:rPr>
          <w:rFonts w:cs="Times New Roman" w:asciiTheme="minorEastAsia" w:hAnsiTheme="minorEastAsia"/>
          <w:bCs/>
          <w:szCs w:val="21"/>
        </w:rPr>
        <w:t>。</w:t>
      </w:r>
      <w:r>
        <w:rPr>
          <w:rFonts w:hint="eastAsia" w:cs="Times New Roman" w:asciiTheme="minorEastAsia" w:hAnsiTheme="minorEastAsia"/>
          <w:bCs/>
          <w:szCs w:val="21"/>
        </w:rPr>
        <w:t>其中课程学习23学分</w:t>
      </w:r>
      <w:r>
        <w:rPr>
          <w:rFonts w:cs="Times New Roman" w:asciiTheme="minorEastAsia" w:hAnsiTheme="minorEastAsia"/>
          <w:bCs/>
          <w:szCs w:val="21"/>
        </w:rPr>
        <w:t>、必修环节</w:t>
      </w:r>
      <w:r>
        <w:rPr>
          <w:rFonts w:hint="eastAsia" w:cs="Times New Roman" w:asciiTheme="minorEastAsia" w:hAnsiTheme="minorEastAsia"/>
          <w:bCs/>
          <w:szCs w:val="21"/>
        </w:rPr>
        <w:t>6学分。</w:t>
      </w:r>
    </w:p>
    <w:p>
      <w:pPr>
        <w:spacing w:before="360" w:after="360" w:line="286" w:lineRule="auto"/>
        <w:jc w:val="center"/>
        <w:rPr>
          <w:rFonts w:ascii="楷体_GB2312" w:hAnsi="Times New Roman" w:eastAsia="楷体_GB2312" w:cs="Times New Roman"/>
          <w:b/>
          <w:bCs/>
          <w:sz w:val="28"/>
          <w:szCs w:val="28"/>
        </w:rPr>
      </w:pPr>
      <w:bookmarkStart w:id="488" w:name="_Toc500668315"/>
      <w:bookmarkStart w:id="489" w:name="_Toc508811188"/>
      <w:bookmarkStart w:id="490" w:name="_Toc508119598"/>
      <w:bookmarkStart w:id="491" w:name="_Toc500665688"/>
      <w:bookmarkStart w:id="492" w:name="_Toc500683452"/>
      <w:bookmarkStart w:id="493" w:name="_Toc508210285"/>
      <w:r>
        <w:rPr>
          <w:rFonts w:hint="eastAsia" w:ascii="楷体_GB2312" w:hAnsi="Times New Roman" w:eastAsia="楷体_GB2312" w:cs="Times New Roman"/>
          <w:b/>
          <w:bCs/>
          <w:sz w:val="28"/>
          <w:szCs w:val="28"/>
        </w:rPr>
        <w:t>★</w:t>
      </w:r>
      <w:r>
        <w:rPr>
          <w:rFonts w:ascii="楷体_GB2312" w:hAnsi="Times New Roman" w:eastAsia="楷体_GB2312" w:cs="Times New Roman"/>
          <w:b/>
          <w:bCs/>
          <w:sz w:val="28"/>
          <w:szCs w:val="28"/>
        </w:rPr>
        <w:t>药学（100</w:t>
      </w:r>
      <w:r>
        <w:rPr>
          <w:rFonts w:hint="eastAsia" w:ascii="楷体_GB2312" w:hAnsi="Times New Roman" w:eastAsia="楷体_GB2312" w:cs="Times New Roman"/>
          <w:b/>
          <w:bCs/>
          <w:sz w:val="28"/>
          <w:szCs w:val="28"/>
        </w:rPr>
        <w:t>7</w:t>
      </w:r>
      <w:r>
        <w:rPr>
          <w:rFonts w:ascii="楷体_GB2312" w:hAnsi="Times New Roman" w:eastAsia="楷体_GB2312" w:cs="Times New Roman"/>
          <w:b/>
          <w:bCs/>
          <w:sz w:val="28"/>
          <w:szCs w:val="28"/>
        </w:rPr>
        <w:t>）硕</w:t>
      </w:r>
      <w:r>
        <w:rPr>
          <w:rFonts w:hint="eastAsia" w:ascii="楷体_GB2312" w:hAnsi="Times New Roman" w:eastAsia="楷体_GB2312" w:cs="Times New Roman"/>
          <w:b/>
          <w:bCs/>
          <w:sz w:val="28"/>
          <w:szCs w:val="28"/>
        </w:rPr>
        <w:t>士</w:t>
      </w:r>
      <w:r>
        <w:rPr>
          <w:rFonts w:ascii="楷体_GB2312" w:hAnsi="Times New Roman" w:eastAsia="楷体_GB2312" w:cs="Times New Roman"/>
          <w:b/>
          <w:bCs/>
          <w:sz w:val="28"/>
          <w:szCs w:val="28"/>
        </w:rPr>
        <w:t>博</w:t>
      </w:r>
      <w:r>
        <w:rPr>
          <w:rFonts w:hint="eastAsia" w:ascii="楷体_GB2312" w:hAnsi="Times New Roman" w:eastAsia="楷体_GB2312" w:cs="Times New Roman"/>
          <w:b/>
          <w:bCs/>
          <w:sz w:val="28"/>
          <w:szCs w:val="28"/>
        </w:rPr>
        <w:t>士</w:t>
      </w:r>
      <w:r>
        <w:rPr>
          <w:rFonts w:ascii="楷体_GB2312" w:hAnsi="Times New Roman" w:eastAsia="楷体_GB2312" w:cs="Times New Roman"/>
          <w:b/>
          <w:bCs/>
          <w:sz w:val="28"/>
          <w:szCs w:val="28"/>
        </w:rPr>
        <w:t>贯通式研究生培养方案</w:t>
      </w:r>
      <w:bookmarkEnd w:id="488"/>
      <w:bookmarkEnd w:id="489"/>
      <w:bookmarkEnd w:id="490"/>
      <w:bookmarkEnd w:id="491"/>
      <w:bookmarkEnd w:id="492"/>
      <w:bookmarkEnd w:id="493"/>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bookmarkStart w:id="494" w:name="_Toc519846461"/>
      <w:bookmarkStart w:id="495" w:name="_Toc520822681"/>
      <w:r>
        <w:rPr>
          <w:rFonts w:ascii="黑体" w:hAnsi="黑体" w:eastAsia="黑体"/>
          <w:sz w:val="24"/>
          <w:szCs w:val="24"/>
        </w:rPr>
        <w:t>一、培养目标</w:t>
      </w:r>
      <w:bookmarkEnd w:id="494"/>
      <w:bookmarkEnd w:id="495"/>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cs="Times New Roman"/>
          <w:szCs w:val="21"/>
        </w:rPr>
      </w:pPr>
      <w:r>
        <w:rPr>
          <w:rFonts w:ascii="Times New Roman" w:hAnsi="Times New Roman" w:cs="Times New Roman"/>
          <w:szCs w:val="21"/>
        </w:rPr>
        <w:t>秉承“扎根西部、服务国家、区域引领、世界一流”的办学定位，</w:t>
      </w:r>
      <w:r>
        <w:rPr>
          <w:rFonts w:hint="eastAsia" w:ascii="Times New Roman" w:hAnsi="Times New Roman" w:cs="Times New Roman"/>
          <w:szCs w:val="21"/>
        </w:rPr>
        <w:t>药学硕博贯通式研究生</w:t>
      </w:r>
      <w:r>
        <w:rPr>
          <w:rFonts w:ascii="Times New Roman" w:hAnsi="Times New Roman" w:cs="Times New Roman"/>
          <w:szCs w:val="21"/>
        </w:rPr>
        <w:t>培养目标为：以科研创新能力培养为主，坚持德智体美等全面发展，培养造就具有</w:t>
      </w:r>
      <w:r>
        <w:rPr>
          <w:rFonts w:hint="eastAsia" w:ascii="Times New Roman" w:hAnsi="Times New Roman" w:cs="Times New Roman"/>
          <w:szCs w:val="21"/>
        </w:rPr>
        <w:t>强烈</w:t>
      </w:r>
      <w:r>
        <w:rPr>
          <w:rFonts w:ascii="Times New Roman" w:hAnsi="Times New Roman" w:cs="Times New Roman"/>
          <w:szCs w:val="21"/>
        </w:rPr>
        <w:t>社会责任感</w:t>
      </w:r>
      <w:r>
        <w:rPr>
          <w:rFonts w:hint="eastAsia" w:ascii="Times New Roman" w:hAnsi="Times New Roman" w:cs="Times New Roman"/>
          <w:szCs w:val="21"/>
        </w:rPr>
        <w:t>的药学</w:t>
      </w:r>
      <w:r>
        <w:rPr>
          <w:rFonts w:ascii="Times New Roman" w:hAnsi="Times New Roman" w:cs="Times New Roman"/>
          <w:szCs w:val="21"/>
        </w:rPr>
        <w:t>研究领域德才兼备的高层次创新型人才。具体要求是：</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cs="Times New Roman"/>
          <w:szCs w:val="21"/>
        </w:rPr>
      </w:pPr>
      <w:r>
        <w:rPr>
          <w:rFonts w:ascii="Times New Roman" w:hAnsi="Times New Roman" w:cs="Times New Roman"/>
          <w:szCs w:val="21"/>
        </w:rPr>
        <w:t>1．热爱祖国，遵纪守法，</w:t>
      </w:r>
      <w:r>
        <w:rPr>
          <w:rFonts w:hint="eastAsia" w:ascii="Times New Roman" w:hAnsi="Times New Roman" w:cs="Times New Roman"/>
          <w:szCs w:val="21"/>
        </w:rPr>
        <w:t>品行端正，</w:t>
      </w:r>
      <w:r>
        <w:rPr>
          <w:rFonts w:ascii="Times New Roman" w:hAnsi="Times New Roman" w:cs="Times New Roman"/>
          <w:szCs w:val="21"/>
        </w:rPr>
        <w:t>具有健康的体魄和良好的心理素质</w:t>
      </w:r>
      <w:r>
        <w:rPr>
          <w:rFonts w:hint="eastAsia" w:ascii="Times New Roman" w:hAnsi="Times New Roman" w:cs="Times New Roman"/>
          <w:szCs w:val="21"/>
        </w:rPr>
        <w:t>；</w:t>
      </w:r>
      <w:r>
        <w:rPr>
          <w:rFonts w:ascii="Times New Roman" w:hAnsi="Times New Roman" w:cs="Times New Roman"/>
          <w:szCs w:val="21"/>
        </w:rPr>
        <w:t>遵守学术规范，恪守学术道德</w:t>
      </w:r>
      <w:r>
        <w:rPr>
          <w:rFonts w:hint="eastAsia" w:ascii="Times New Roman" w:hAnsi="Times New Roman" w:cs="Times New Roman"/>
          <w:szCs w:val="21"/>
        </w:rPr>
        <w:t>，</w:t>
      </w:r>
      <w:r>
        <w:rPr>
          <w:rFonts w:ascii="Times New Roman" w:hAnsi="Times New Roman" w:cs="Times New Roman"/>
          <w:szCs w:val="21"/>
        </w:rPr>
        <w:t>崇尚科学精神</w:t>
      </w:r>
      <w:r>
        <w:rPr>
          <w:rFonts w:hint="eastAsia" w:ascii="Times New Roman" w:hAnsi="Times New Roman" w:cs="Times New Roman"/>
          <w:szCs w:val="21"/>
        </w:rPr>
        <w:t>；对</w:t>
      </w:r>
      <w:r>
        <w:rPr>
          <w:rFonts w:ascii="Times New Roman" w:hAnsi="Times New Roman" w:cs="Times New Roman"/>
          <w:szCs w:val="21"/>
        </w:rPr>
        <w:t>药学研究有较浓厚的兴趣，有献身</w:t>
      </w:r>
      <w:r>
        <w:rPr>
          <w:rFonts w:hint="eastAsia" w:ascii="Times New Roman" w:hAnsi="Times New Roman" w:cs="Times New Roman"/>
          <w:szCs w:val="21"/>
        </w:rPr>
        <w:t>药学研究</w:t>
      </w:r>
      <w:r>
        <w:rPr>
          <w:rFonts w:ascii="Times New Roman" w:hAnsi="Times New Roman" w:cs="Times New Roman"/>
          <w:szCs w:val="21"/>
        </w:rPr>
        <w:t>的强烈事业心和创新精神，积极为祖国药学事业发展贡献自己的才智。</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熟悉药学学科的现状与发展趋势，掌握药学及相关学科的基本理论和专业知识，具有</w:t>
      </w:r>
      <w:r>
        <w:rPr>
          <w:rFonts w:ascii="Times New Roman" w:hAnsi="Times New Roman" w:cs="Times New Roman"/>
          <w:szCs w:val="21"/>
        </w:rPr>
        <w:t>扎实的药学</w:t>
      </w:r>
      <w:r>
        <w:rPr>
          <w:rFonts w:hint="eastAsia" w:ascii="Times New Roman" w:hAnsi="Times New Roman" w:cs="Times New Roman"/>
          <w:szCs w:val="21"/>
        </w:rPr>
        <w:t>专业积累和科研</w:t>
      </w:r>
      <w:r>
        <w:rPr>
          <w:rFonts w:ascii="Times New Roman" w:hAnsi="Times New Roman" w:cs="Times New Roman"/>
          <w:szCs w:val="21"/>
        </w:rPr>
        <w:t>技能，</w:t>
      </w:r>
      <w:r>
        <w:rPr>
          <w:rFonts w:hint="eastAsia" w:ascii="Times New Roman" w:hAnsi="Times New Roman" w:cs="Times New Roman"/>
          <w:szCs w:val="21"/>
        </w:rPr>
        <w:t>熟练</w:t>
      </w:r>
      <w:r>
        <w:rPr>
          <w:rFonts w:ascii="Times New Roman" w:hAnsi="Times New Roman" w:cs="Times New Roman"/>
          <w:szCs w:val="21"/>
        </w:rPr>
        <w:t>掌握一门</w:t>
      </w:r>
      <w:r>
        <w:rPr>
          <w:rFonts w:hint="eastAsia" w:ascii="Times New Roman" w:hAnsi="Times New Roman" w:cs="Times New Roman"/>
          <w:szCs w:val="21"/>
        </w:rPr>
        <w:t>外国语，掌握必需的哲学、法律、职业道德等人文社科知识。</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cs="Times New Roman"/>
          <w:szCs w:val="21"/>
        </w:rPr>
      </w:pPr>
      <w:r>
        <w:rPr>
          <w:rFonts w:ascii="Times New Roman" w:hAnsi="Times New Roman" w:cs="Times New Roman"/>
          <w:szCs w:val="21"/>
        </w:rPr>
        <w:t>3．</w:t>
      </w:r>
      <w:r>
        <w:rPr>
          <w:rFonts w:hint="eastAsia" w:ascii="Times New Roman" w:hAnsi="Times New Roman" w:cs="Times New Roman"/>
          <w:szCs w:val="21"/>
        </w:rPr>
        <w:t>具有较强的创新思维、学术悟性和表达能力；具有综合运用相关理论和技术，解决药学领域科学问题的能力；具有较好的语言和文字表达能力；具有运用外语进行阅读、表达、写作的能力和开展国际学术交流的能力；具有</w:t>
      </w:r>
      <w:r>
        <w:rPr>
          <w:rFonts w:ascii="Times New Roman" w:hAnsi="Times New Roman" w:cs="Times New Roman"/>
          <w:szCs w:val="21"/>
        </w:rPr>
        <w:t>较好的学术潜力和创新能力</w:t>
      </w:r>
      <w:r>
        <w:rPr>
          <w:rFonts w:hint="eastAsia" w:ascii="Times New Roman" w:hAnsi="Times New Roman" w:cs="Times New Roman"/>
          <w:szCs w:val="21"/>
        </w:rPr>
        <w:t>。</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cs="Times New Roman"/>
          <w:szCs w:val="21"/>
        </w:rPr>
      </w:pPr>
      <w:r>
        <w:rPr>
          <w:rFonts w:hint="eastAsia" w:ascii="Times New Roman" w:hAnsi="Times New Roman" w:cs="Times New Roman"/>
          <w:szCs w:val="21"/>
        </w:rPr>
        <w:t>4. 能够针对药学领域的科学问题，</w:t>
      </w:r>
      <w:r>
        <w:rPr>
          <w:rFonts w:ascii="Times New Roman" w:hAnsi="Times New Roman" w:cs="Times New Roman"/>
          <w:szCs w:val="21"/>
        </w:rPr>
        <w:t>独立</w:t>
      </w:r>
      <w:r>
        <w:rPr>
          <w:rFonts w:hint="eastAsia" w:ascii="Times New Roman" w:hAnsi="Times New Roman" w:cs="Times New Roman"/>
          <w:szCs w:val="21"/>
        </w:rPr>
        <w:t>进行开拓性研究。具有团队协作与组织管理能力，能够</w:t>
      </w:r>
      <w:r>
        <w:rPr>
          <w:rFonts w:ascii="Times New Roman" w:hAnsi="Times New Roman" w:cs="Times New Roman"/>
          <w:szCs w:val="21"/>
        </w:rPr>
        <w:t>解决药学领域的</w:t>
      </w:r>
      <w:r>
        <w:rPr>
          <w:rFonts w:hint="eastAsia" w:ascii="Times New Roman" w:hAnsi="Times New Roman" w:cs="Times New Roman"/>
          <w:szCs w:val="21"/>
        </w:rPr>
        <w:t>相关科学问题</w:t>
      </w:r>
      <w:r>
        <w:rPr>
          <w:rFonts w:ascii="Times New Roman" w:hAnsi="Times New Roman" w:cs="Times New Roman"/>
          <w:szCs w:val="21"/>
        </w:rPr>
        <w:t>，</w:t>
      </w:r>
      <w:r>
        <w:rPr>
          <w:rFonts w:hint="eastAsia" w:ascii="Times New Roman" w:hAnsi="Times New Roman" w:cs="Times New Roman"/>
          <w:szCs w:val="21"/>
        </w:rPr>
        <w:t>在</w:t>
      </w:r>
      <w:r>
        <w:rPr>
          <w:rFonts w:ascii="Times New Roman" w:hAnsi="Times New Roman" w:cs="Times New Roman"/>
          <w:szCs w:val="21"/>
        </w:rPr>
        <w:t>科学和技术上做出创新性成果。</w:t>
      </w:r>
      <w:r>
        <w:rPr>
          <w:rFonts w:hint="eastAsia" w:ascii="Times New Roman" w:hAnsi="Times New Roman" w:cs="Times New Roman"/>
          <w:szCs w:val="21"/>
        </w:rPr>
        <w:t>具备在高等院校、科研机构、医药行业等相关机构从事人才培养、科学研究、专业技术或管理工作的岗位胜任力。</w:t>
      </w:r>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bookmarkStart w:id="496" w:name="_Toc520822682"/>
      <w:bookmarkStart w:id="497" w:name="_Toc519846462"/>
      <w:r>
        <w:rPr>
          <w:rFonts w:ascii="黑体" w:hAnsi="黑体" w:eastAsia="黑体"/>
          <w:sz w:val="24"/>
          <w:szCs w:val="24"/>
        </w:rPr>
        <w:t>二、研究方向</w:t>
      </w:r>
      <w:bookmarkEnd w:id="496"/>
      <w:bookmarkEnd w:id="497"/>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cs="Times New Roman"/>
          <w:szCs w:val="21"/>
        </w:rPr>
      </w:pPr>
      <w:r>
        <w:rPr>
          <w:rFonts w:ascii="Times New Roman" w:hAnsi="Times New Roman" w:cs="Times New Roman"/>
          <w:szCs w:val="21"/>
        </w:rPr>
        <w:t>1</w:t>
      </w:r>
      <w:r>
        <w:rPr>
          <w:rFonts w:ascii="Times New Roman" w:hAnsi="Times New Roman" w:eastAsia="宋体" w:cs="Times New Roman"/>
          <w:szCs w:val="21"/>
        </w:rPr>
        <w:t>．</w:t>
      </w:r>
      <w:r>
        <w:rPr>
          <w:rFonts w:ascii="Times New Roman" w:hAnsi="Times New Roman" w:cs="Times New Roman"/>
          <w:szCs w:val="21"/>
        </w:rPr>
        <w:t>药物化学；</w:t>
      </w:r>
      <w:r>
        <w:rPr>
          <w:rFonts w:hint="eastAsia" w:ascii="Times New Roman" w:hAnsi="Times New Roman" w:cs="Times New Roman"/>
          <w:szCs w:val="21"/>
        </w:rPr>
        <w:t xml:space="preserve">                       </w:t>
      </w:r>
      <w:r>
        <w:rPr>
          <w:rFonts w:ascii="Times New Roman" w:hAnsi="Times New Roman" w:cs="Times New Roman"/>
          <w:szCs w:val="21"/>
        </w:rPr>
        <w:tab/>
      </w:r>
      <w:r>
        <w:rPr>
          <w:rFonts w:ascii="Times New Roman" w:hAnsi="Times New Roman" w:cs="Times New Roman"/>
          <w:szCs w:val="21"/>
        </w:rPr>
        <w:t>2</w:t>
      </w:r>
      <w:r>
        <w:rPr>
          <w:rFonts w:ascii="Times New Roman" w:hAnsi="Times New Roman" w:eastAsia="宋体" w:cs="Times New Roman"/>
          <w:szCs w:val="21"/>
        </w:rPr>
        <w:t>．</w:t>
      </w:r>
      <w:r>
        <w:rPr>
          <w:rFonts w:ascii="Times New Roman" w:hAnsi="Times New Roman" w:cs="Times New Roman"/>
          <w:szCs w:val="21"/>
        </w:rPr>
        <w:t>药剂学；</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cs="Times New Roman"/>
          <w:szCs w:val="21"/>
        </w:rPr>
      </w:pPr>
      <w:r>
        <w:rPr>
          <w:rFonts w:ascii="Times New Roman" w:hAnsi="Times New Roman" w:cs="Times New Roman"/>
          <w:szCs w:val="21"/>
        </w:rPr>
        <w:t>3</w:t>
      </w:r>
      <w:r>
        <w:rPr>
          <w:rFonts w:ascii="Times New Roman" w:hAnsi="Times New Roman" w:eastAsia="宋体" w:cs="Times New Roman"/>
          <w:szCs w:val="21"/>
        </w:rPr>
        <w:t>．</w:t>
      </w:r>
      <w:r>
        <w:rPr>
          <w:rFonts w:ascii="Times New Roman" w:hAnsi="Times New Roman" w:cs="Times New Roman"/>
          <w:szCs w:val="21"/>
        </w:rPr>
        <w:t>生药学；</w:t>
      </w:r>
      <w:r>
        <w:rPr>
          <w:rFonts w:hint="eastAsia" w:ascii="Times New Roman" w:hAnsi="Times New Roman" w:cs="Times New Roman"/>
          <w:szCs w:val="21"/>
        </w:rPr>
        <w:t xml:space="preserve">                         </w:t>
      </w:r>
      <w:r>
        <w:rPr>
          <w:rFonts w:ascii="Times New Roman" w:hAnsi="Times New Roman" w:cs="Times New Roman"/>
          <w:szCs w:val="21"/>
        </w:rPr>
        <w:tab/>
      </w:r>
      <w:r>
        <w:rPr>
          <w:rFonts w:ascii="Times New Roman" w:hAnsi="Times New Roman" w:cs="Times New Roman"/>
          <w:szCs w:val="21"/>
        </w:rPr>
        <w:t>4</w:t>
      </w:r>
      <w:r>
        <w:rPr>
          <w:rFonts w:ascii="Times New Roman" w:hAnsi="Times New Roman" w:eastAsia="宋体" w:cs="Times New Roman"/>
          <w:szCs w:val="21"/>
        </w:rPr>
        <w:t>．</w:t>
      </w:r>
      <w:r>
        <w:rPr>
          <w:rFonts w:ascii="Times New Roman" w:hAnsi="Times New Roman" w:cs="Times New Roman"/>
          <w:szCs w:val="21"/>
        </w:rPr>
        <w:t>药物分析学；</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cs="Times New Roman"/>
          <w:szCs w:val="21"/>
        </w:rPr>
      </w:pPr>
      <w:r>
        <w:rPr>
          <w:rFonts w:ascii="Times New Roman" w:hAnsi="Times New Roman" w:cs="Times New Roman"/>
          <w:szCs w:val="21"/>
        </w:rPr>
        <w:t>5</w:t>
      </w:r>
      <w:r>
        <w:rPr>
          <w:rFonts w:ascii="Times New Roman" w:hAnsi="Times New Roman" w:eastAsia="宋体" w:cs="Times New Roman"/>
          <w:szCs w:val="21"/>
        </w:rPr>
        <w:t>．</w:t>
      </w:r>
      <w:r>
        <w:rPr>
          <w:rFonts w:ascii="Times New Roman" w:hAnsi="Times New Roman" w:cs="Times New Roman"/>
          <w:szCs w:val="21"/>
        </w:rPr>
        <w:t>微生物与生化药学；</w:t>
      </w:r>
      <w:r>
        <w:rPr>
          <w:rFonts w:hint="eastAsia" w:ascii="Times New Roman" w:hAnsi="Times New Roman" w:cs="Times New Roman"/>
          <w:szCs w:val="21"/>
        </w:rPr>
        <w:t xml:space="preserve"> </w:t>
      </w:r>
      <w:r>
        <w:rPr>
          <w:rFonts w:ascii="Times New Roman" w:hAnsi="Times New Roman" w:cs="Times New Roman"/>
          <w:szCs w:val="21"/>
        </w:rPr>
        <w:t xml:space="preserve">               </w:t>
      </w:r>
      <w:r>
        <w:rPr>
          <w:rFonts w:ascii="Times New Roman" w:hAnsi="Times New Roman" w:cs="Times New Roman"/>
          <w:szCs w:val="21"/>
        </w:rPr>
        <w:tab/>
      </w:r>
      <w:r>
        <w:rPr>
          <w:rFonts w:ascii="Times New Roman" w:hAnsi="Times New Roman" w:cs="Times New Roman"/>
          <w:szCs w:val="21"/>
        </w:rPr>
        <w:t>6</w:t>
      </w:r>
      <w:r>
        <w:rPr>
          <w:rFonts w:ascii="Times New Roman" w:hAnsi="Times New Roman" w:eastAsia="宋体" w:cs="Times New Roman"/>
          <w:szCs w:val="21"/>
        </w:rPr>
        <w:t>．</w:t>
      </w:r>
      <w:r>
        <w:rPr>
          <w:rFonts w:ascii="Times New Roman" w:hAnsi="Times New Roman" w:cs="Times New Roman"/>
          <w:szCs w:val="21"/>
        </w:rPr>
        <w:t>药理学；</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7</w:t>
      </w:r>
      <w:r>
        <w:rPr>
          <w:rFonts w:ascii="Times New Roman" w:hAnsi="Times New Roman" w:eastAsia="宋体" w:cs="Times New Roman"/>
          <w:szCs w:val="21"/>
        </w:rPr>
        <w:t>．</w:t>
      </w:r>
      <w:r>
        <w:rPr>
          <w:rFonts w:ascii="Times New Roman" w:hAnsi="Times New Roman" w:cs="Times New Roman"/>
          <w:szCs w:val="21"/>
        </w:rPr>
        <w:t>天然药物化学；</w:t>
      </w:r>
      <w:r>
        <w:rPr>
          <w:rFonts w:hint="eastAsia" w:ascii="Times New Roman" w:hAnsi="Times New Roman" w:cs="Times New Roman"/>
          <w:szCs w:val="21"/>
        </w:rPr>
        <w:t xml:space="preserve">                   </w:t>
      </w:r>
      <w:r>
        <w:rPr>
          <w:rFonts w:ascii="Times New Roman" w:hAnsi="Times New Roman" w:cs="Times New Roman"/>
          <w:szCs w:val="21"/>
        </w:rPr>
        <w:tab/>
      </w:r>
      <w:r>
        <w:rPr>
          <w:rFonts w:ascii="Times New Roman" w:hAnsi="Times New Roman" w:cs="Times New Roman"/>
          <w:szCs w:val="21"/>
        </w:rPr>
        <w:t>8</w:t>
      </w:r>
      <w:r>
        <w:rPr>
          <w:rFonts w:ascii="Times New Roman" w:hAnsi="Times New Roman" w:eastAsia="宋体" w:cs="Times New Roman"/>
          <w:szCs w:val="21"/>
        </w:rPr>
        <w:t>．</w:t>
      </w:r>
      <w:r>
        <w:rPr>
          <w:rFonts w:ascii="Times New Roman" w:hAnsi="Times New Roman" w:cs="Times New Roman"/>
          <w:szCs w:val="21"/>
        </w:rPr>
        <w:t>药事管理学</w:t>
      </w:r>
      <w:r>
        <w:rPr>
          <w:rFonts w:hint="eastAsia" w:cs="Times New Roman" w:asciiTheme="minorEastAsia" w:hAnsiTheme="minorEastAsia"/>
          <w:szCs w:val="21"/>
        </w:rPr>
        <w:t>；</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9.</w:t>
      </w:r>
      <w:r>
        <w:rPr>
          <w:rFonts w:ascii="Times New Roman" w:hAnsi="Times New Roman" w:eastAsia="宋体" w:cs="Times New Roman"/>
          <w:szCs w:val="21"/>
        </w:rPr>
        <w:t xml:space="preserve"> </w:t>
      </w:r>
      <w:r>
        <w:rPr>
          <w:rFonts w:hint="eastAsia" w:ascii="Times New Roman" w:hAnsi="Times New Roman" w:eastAsia="宋体" w:cs="Times New Roman"/>
          <w:szCs w:val="21"/>
        </w:rPr>
        <w:t>新药智能发现</w:t>
      </w:r>
      <w:r>
        <w:rPr>
          <w:rFonts w:ascii="Times New Roman" w:hAnsi="Times New Roman" w:eastAsia="宋体" w:cs="Times New Roman"/>
          <w:szCs w:val="21"/>
        </w:rPr>
        <w:t>与评价</w:t>
      </w:r>
      <w:r>
        <w:rPr>
          <w:rFonts w:hint="eastAsia" w:ascii="Times New Roman" w:hAnsi="Times New Roman" w:eastAsia="宋体" w:cs="Times New Roman"/>
          <w:szCs w:val="21"/>
        </w:rPr>
        <w:t>(交叉)。</w:t>
      </w:r>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bookmarkStart w:id="498" w:name="_Toc519846463"/>
      <w:bookmarkStart w:id="499" w:name="_Toc520822683"/>
      <w:r>
        <w:rPr>
          <w:rFonts w:ascii="黑体" w:hAnsi="黑体" w:eastAsia="黑体"/>
          <w:sz w:val="24"/>
          <w:szCs w:val="24"/>
        </w:rPr>
        <w:t>三、学习年限</w:t>
      </w:r>
      <w:bookmarkEnd w:id="498"/>
      <w:bookmarkEnd w:id="499"/>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以硕博连读方式进入贯通式培养体系的学生（以下简称</w:t>
      </w:r>
      <w:r>
        <w:rPr>
          <w:rFonts w:hint="eastAsia" w:cs="Times New Roman" w:asciiTheme="minorEastAsia" w:hAnsiTheme="minorEastAsia"/>
          <w:szCs w:val="21"/>
        </w:rPr>
        <w:t>“</w:t>
      </w:r>
      <w:r>
        <w:rPr>
          <w:rFonts w:cs="Times New Roman" w:asciiTheme="minorEastAsia" w:hAnsiTheme="minorEastAsia"/>
          <w:szCs w:val="21"/>
        </w:rPr>
        <w:t>硕博连读生</w:t>
      </w:r>
      <w:r>
        <w:rPr>
          <w:rFonts w:hint="eastAsia" w:cs="Times New Roman" w:asciiTheme="minorEastAsia" w:hAnsiTheme="minorEastAsia"/>
          <w:szCs w:val="21"/>
        </w:rPr>
        <w:t>”</w:t>
      </w:r>
      <w:r>
        <w:rPr>
          <w:rFonts w:cs="Times New Roman" w:asciiTheme="minorEastAsia" w:hAnsiTheme="minorEastAsia"/>
          <w:szCs w:val="21"/>
        </w:rPr>
        <w:t>），在博士培养阶段的学习年限为</w:t>
      </w:r>
      <w:r>
        <w:rPr>
          <w:rFonts w:ascii="Times New Roman" w:hAnsi="Times New Roman" w:cs="Times New Roman"/>
          <w:szCs w:val="21"/>
        </w:rPr>
        <w:t>3-5年</w:t>
      </w:r>
      <w:r>
        <w:rPr>
          <w:rFonts w:cs="Times New Roman" w:asciiTheme="minorEastAsia" w:hAnsiTheme="minorEastAsia"/>
          <w:szCs w:val="21"/>
        </w:rPr>
        <w:t>；以直攻博方式进入贯通式培养体系的学生（以下简称</w:t>
      </w:r>
      <w:r>
        <w:rPr>
          <w:rFonts w:hint="eastAsia" w:cs="Times New Roman" w:asciiTheme="minorEastAsia" w:hAnsiTheme="minorEastAsia"/>
          <w:szCs w:val="21"/>
        </w:rPr>
        <w:t>“</w:t>
      </w:r>
      <w:r>
        <w:rPr>
          <w:rFonts w:cs="Times New Roman" w:asciiTheme="minorEastAsia" w:hAnsiTheme="minorEastAsia"/>
          <w:szCs w:val="21"/>
        </w:rPr>
        <w:t>直博生</w:t>
      </w:r>
      <w:r>
        <w:rPr>
          <w:rFonts w:hint="eastAsia" w:cs="Times New Roman" w:asciiTheme="minorEastAsia" w:hAnsiTheme="minorEastAsia"/>
          <w:szCs w:val="21"/>
        </w:rPr>
        <w:t>”</w:t>
      </w:r>
      <w:r>
        <w:rPr>
          <w:rFonts w:cs="Times New Roman" w:asciiTheme="minorEastAsia" w:hAnsiTheme="minorEastAsia"/>
          <w:szCs w:val="21"/>
        </w:rPr>
        <w:t>），学习年限为</w:t>
      </w:r>
      <w:r>
        <w:rPr>
          <w:rFonts w:ascii="Times New Roman" w:hAnsi="Times New Roman" w:cs="Times New Roman"/>
          <w:szCs w:val="21"/>
        </w:rPr>
        <w:t>4-6</w:t>
      </w:r>
      <w:r>
        <w:rPr>
          <w:rFonts w:cs="Times New Roman" w:asciiTheme="minorEastAsia" w:hAnsiTheme="minorEastAsia"/>
          <w:szCs w:val="21"/>
        </w:rPr>
        <w:t>年。</w:t>
      </w:r>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bookmarkStart w:id="500" w:name="_Toc520822684"/>
      <w:bookmarkStart w:id="501" w:name="_Toc519846464"/>
      <w:r>
        <w:rPr>
          <w:rFonts w:ascii="黑体" w:hAnsi="黑体" w:eastAsia="黑体"/>
          <w:sz w:val="24"/>
          <w:szCs w:val="24"/>
        </w:rPr>
        <w:t>四、培养方式</w:t>
      </w:r>
      <w:bookmarkEnd w:id="500"/>
      <w:bookmarkEnd w:id="501"/>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以立德树人为根本任务，实现硕博贯通的培养方式，具体的培养方式是：</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1</w:t>
      </w:r>
      <w:r>
        <w:rPr>
          <w:rFonts w:ascii="Times New Roman" w:hAnsi="Times New Roman" w:eastAsia="宋体" w:cs="Times New Roman"/>
          <w:szCs w:val="21"/>
        </w:rPr>
        <w:t>．</w:t>
      </w:r>
      <w:r>
        <w:rPr>
          <w:rFonts w:ascii="Times New Roman" w:hAnsi="Times New Roman" w:cs="Times New Roman"/>
          <w:szCs w:val="21"/>
        </w:rPr>
        <w:t>导</w:t>
      </w:r>
      <w:r>
        <w:rPr>
          <w:rFonts w:cs="Times New Roman" w:asciiTheme="minorEastAsia" w:hAnsiTheme="minorEastAsia"/>
          <w:szCs w:val="21"/>
        </w:rPr>
        <w:t>师小组联合指导，导师负责制。各系、中心应成立以博士生导师为主</w:t>
      </w:r>
      <w:r>
        <w:rPr>
          <w:rFonts w:ascii="Times New Roman" w:hAnsi="Times New Roman" w:cs="Times New Roman"/>
          <w:szCs w:val="21"/>
        </w:rPr>
        <w:t>5人</w:t>
      </w:r>
      <w:r>
        <w:rPr>
          <w:rFonts w:cs="Times New Roman" w:asciiTheme="minorEastAsia" w:hAnsiTheme="minorEastAsia"/>
          <w:szCs w:val="21"/>
        </w:rPr>
        <w:t>指导小组及课题小组的有关成员，按照</w:t>
      </w:r>
      <w:r>
        <w:rPr>
          <w:rFonts w:cs="Times New Roman" w:asciiTheme="minorEastAsia" w:hAnsiTheme="minorEastAsia"/>
          <w:kern w:val="0"/>
          <w:szCs w:val="21"/>
        </w:rPr>
        <w:t>硕博连读生</w:t>
      </w:r>
      <w:r>
        <w:rPr>
          <w:rFonts w:cs="Times New Roman" w:asciiTheme="minorEastAsia" w:hAnsiTheme="minorEastAsia"/>
          <w:szCs w:val="21"/>
        </w:rPr>
        <w:t>培养计划的要求，制订培养计划。共同协助搞好贯通式研究生的培养工作。</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2</w:t>
      </w:r>
      <w:r>
        <w:rPr>
          <w:rFonts w:ascii="Times New Roman" w:hAnsi="Times New Roman" w:eastAsia="宋体" w:cs="Times New Roman"/>
          <w:szCs w:val="21"/>
        </w:rPr>
        <w:t>．</w:t>
      </w:r>
      <w:r>
        <w:rPr>
          <w:rFonts w:ascii="Times New Roman" w:hAnsi="Times New Roman" w:cs="Times New Roman"/>
          <w:szCs w:val="21"/>
        </w:rPr>
        <w:t>课</w:t>
      </w:r>
      <w:r>
        <w:rPr>
          <w:rFonts w:cs="Times New Roman" w:asciiTheme="minorEastAsia" w:hAnsiTheme="minorEastAsia"/>
          <w:szCs w:val="21"/>
        </w:rPr>
        <w:t>程学习要满足需要的学分；课程包括本专业的基础和前沿课程和开展自己研究工作的必要知识和技术，可采用上课、学术报告、国际交流、讨论等方式。</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3</w:t>
      </w:r>
      <w:r>
        <w:rPr>
          <w:rFonts w:ascii="Times New Roman" w:hAnsi="Times New Roman" w:eastAsia="宋体" w:cs="Times New Roman"/>
          <w:szCs w:val="21"/>
        </w:rPr>
        <w:t>．</w:t>
      </w:r>
      <w:r>
        <w:rPr>
          <w:rFonts w:cs="Times New Roman" w:asciiTheme="minorEastAsia" w:hAnsiTheme="minorEastAsia"/>
          <w:szCs w:val="21"/>
        </w:rPr>
        <w:t>积极鼓励学生参加会议、讲座等，展丰富多彩的科研活动，营造浓郁的科研氛围，提升学生的科研兴趣，增强学生解决重大科学问题的动力。</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4</w:t>
      </w:r>
      <w:r>
        <w:rPr>
          <w:rFonts w:ascii="Times New Roman" w:hAnsi="Times New Roman" w:eastAsia="宋体" w:cs="Times New Roman"/>
          <w:szCs w:val="21"/>
        </w:rPr>
        <w:t>．</w:t>
      </w:r>
      <w:r>
        <w:rPr>
          <w:rFonts w:cs="Times New Roman" w:asciiTheme="minorEastAsia" w:hAnsiTheme="minorEastAsia"/>
          <w:szCs w:val="21"/>
        </w:rPr>
        <w:t>通过课题组、院系的科研汇报会、文献阅读会、小组讨论会，个别指导等形式，逐步强化学生的科研创新能力。</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5</w:t>
      </w:r>
      <w:r>
        <w:rPr>
          <w:rFonts w:ascii="Times New Roman" w:hAnsi="Times New Roman" w:eastAsia="宋体" w:cs="Times New Roman"/>
          <w:szCs w:val="21"/>
        </w:rPr>
        <w:t>．</w:t>
      </w:r>
      <w:r>
        <w:rPr>
          <w:rFonts w:cs="Times New Roman" w:asciiTheme="minorEastAsia" w:hAnsiTheme="minorEastAsia"/>
          <w:szCs w:val="21"/>
        </w:rPr>
        <w:t>加强培养期间的过程管理，第一学年学习专业基础理论，掌握进行科研所必需的基本技能并写出文献综述。从第二年开始在导师指导下进入课题研究和学位论文准备阶段。硕博连读生，硕士阶段第二学年内完成博士资格考核，在进入博士阶段第二学年起至第三学年末完成博士中期考核；直博生，第二学年内完成博士资格审核，自第三学年起至第四学年末完成博士中期考核。</w:t>
      </w:r>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bookmarkStart w:id="502" w:name="_Toc520822685"/>
      <w:bookmarkStart w:id="503" w:name="_Toc519846465"/>
      <w:r>
        <w:rPr>
          <w:rFonts w:ascii="黑体" w:hAnsi="黑体" w:eastAsia="黑体"/>
          <w:sz w:val="24"/>
          <w:szCs w:val="24"/>
        </w:rPr>
        <w:t>五、课程学习及学分设置</w:t>
      </w:r>
      <w:bookmarkEnd w:id="502"/>
      <w:bookmarkEnd w:id="503"/>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本学科学术型硕博贯通式培养方案共需修满4</w:t>
      </w:r>
      <w:r>
        <w:rPr>
          <w:rFonts w:cs="Times New Roman" w:asciiTheme="minorEastAsia" w:hAnsiTheme="minorEastAsia"/>
          <w:szCs w:val="21"/>
        </w:rPr>
        <w:t>2</w:t>
      </w:r>
      <w:r>
        <w:rPr>
          <w:rFonts w:hint="eastAsia" w:cs="Times New Roman" w:asciiTheme="minorEastAsia" w:hAnsiTheme="minorEastAsia"/>
          <w:szCs w:val="21"/>
        </w:rPr>
        <w:t>学分，其中课程学习25学分，必修环节</w:t>
      </w:r>
      <w:r>
        <w:rPr>
          <w:rFonts w:cs="Times New Roman" w:asciiTheme="minorEastAsia" w:hAnsiTheme="minorEastAsia"/>
          <w:szCs w:val="21"/>
        </w:rPr>
        <w:t>17学分</w:t>
      </w:r>
      <w:r>
        <w:rPr>
          <w:rFonts w:hint="eastAsia" w:cs="Times New Roman" w:asciiTheme="minorEastAsia" w:hAnsiTheme="minorEastAsia"/>
          <w:szCs w:val="21"/>
        </w:rPr>
        <w:t>。</w:t>
      </w:r>
      <w:r>
        <w:rPr>
          <w:rFonts w:cs="Times New Roman" w:asciiTheme="minorEastAsia" w:hAnsiTheme="minorEastAsia"/>
          <w:szCs w:val="21"/>
        </w:rPr>
        <w:t>课程学习包括：学位课1</w:t>
      </w:r>
      <w:r>
        <w:rPr>
          <w:rFonts w:hint="eastAsia" w:cs="Times New Roman" w:asciiTheme="minorEastAsia" w:hAnsiTheme="minorEastAsia"/>
          <w:szCs w:val="21"/>
        </w:rPr>
        <w:t>7</w:t>
      </w:r>
      <w:r>
        <w:rPr>
          <w:rFonts w:cs="Times New Roman" w:asciiTheme="minorEastAsia" w:hAnsiTheme="minorEastAsia"/>
          <w:szCs w:val="21"/>
        </w:rPr>
        <w:t>学分，选修课</w:t>
      </w:r>
      <w:r>
        <w:rPr>
          <w:rFonts w:hint="eastAsia" w:cs="Times New Roman" w:asciiTheme="minorEastAsia" w:hAnsiTheme="minorEastAsia"/>
          <w:szCs w:val="21"/>
        </w:rPr>
        <w:t>8</w:t>
      </w:r>
      <w:r>
        <w:rPr>
          <w:rFonts w:cs="Times New Roman" w:asciiTheme="minorEastAsia" w:hAnsiTheme="minorEastAsia"/>
          <w:szCs w:val="21"/>
        </w:rPr>
        <w:t>学分。学位课包括公共学位课7学分（思政课</w:t>
      </w:r>
      <w:r>
        <w:rPr>
          <w:rFonts w:hint="eastAsia" w:cs="Times New Roman" w:asciiTheme="minorEastAsia" w:hAnsiTheme="minorEastAsia"/>
          <w:szCs w:val="21"/>
        </w:rPr>
        <w:t>5</w:t>
      </w:r>
      <w:r>
        <w:rPr>
          <w:rFonts w:cs="Times New Roman" w:asciiTheme="minorEastAsia" w:hAnsiTheme="minorEastAsia"/>
          <w:szCs w:val="21"/>
        </w:rPr>
        <w:t>学分，外语课2学分），</w:t>
      </w:r>
      <w:r>
        <w:rPr>
          <w:rFonts w:hint="eastAsia" w:cs="Times New Roman" w:asciiTheme="minorEastAsia" w:hAnsiTheme="minorEastAsia"/>
          <w:szCs w:val="21"/>
        </w:rPr>
        <w:t>学科</w:t>
      </w:r>
      <w:r>
        <w:rPr>
          <w:rFonts w:cs="Times New Roman" w:asciiTheme="minorEastAsia" w:hAnsiTheme="minorEastAsia"/>
          <w:szCs w:val="21"/>
        </w:rPr>
        <w:t>学位课10学分</w:t>
      </w:r>
      <w:r>
        <w:rPr>
          <w:rFonts w:hint="eastAsia" w:cs="Times New Roman" w:asciiTheme="minorEastAsia" w:hAnsiTheme="minorEastAsia"/>
          <w:szCs w:val="21"/>
        </w:rPr>
        <w:t>。</w:t>
      </w:r>
    </w:p>
    <w:tbl>
      <w:tblPr>
        <w:tblStyle w:val="37"/>
        <w:tblW w:w="47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595"/>
        <w:gridCol w:w="1015"/>
        <w:gridCol w:w="1404"/>
        <w:gridCol w:w="2358"/>
        <w:gridCol w:w="696"/>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764"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ascii="Times New Roman" w:hAnsi="Times New Roman" w:cs="Times New Roman"/>
                <w:b/>
                <w:bCs/>
                <w:szCs w:val="21"/>
              </w:rPr>
            </w:pPr>
            <w:r>
              <w:rPr>
                <w:rFonts w:ascii="Times New Roman" w:hAnsi="Times New Roman" w:cs="Times New Roman"/>
                <w:b/>
                <w:bCs/>
                <w:szCs w:val="21"/>
              </w:rPr>
              <w:t>课程类型</w:t>
            </w:r>
          </w:p>
        </w:tc>
        <w:tc>
          <w:tcPr>
            <w:tcW w:w="35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ascii="Times New Roman" w:hAnsi="Times New Roman" w:cs="Times New Roman"/>
                <w:b/>
                <w:bCs/>
                <w:szCs w:val="21"/>
              </w:rPr>
            </w:pPr>
            <w:r>
              <w:rPr>
                <w:rFonts w:ascii="Times New Roman" w:hAnsi="Times New Roman" w:cs="Times New Roman"/>
                <w:b/>
                <w:bCs/>
                <w:szCs w:val="21"/>
              </w:rPr>
              <w:t>序号</w:t>
            </w:r>
          </w:p>
        </w:tc>
        <w:tc>
          <w:tcPr>
            <w:tcW w:w="60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ascii="Times New Roman" w:hAnsi="Times New Roman" w:cs="Times New Roman"/>
                <w:b/>
                <w:bCs/>
                <w:szCs w:val="21"/>
              </w:rPr>
            </w:pPr>
            <w:r>
              <w:rPr>
                <w:rFonts w:hint="eastAsia" w:ascii="Times New Roman" w:hAnsi="Times New Roman" w:cs="Times New Roman"/>
                <w:b/>
                <w:bCs/>
                <w:szCs w:val="21"/>
              </w:rPr>
              <w:t>课程编号</w:t>
            </w:r>
          </w:p>
        </w:tc>
        <w:tc>
          <w:tcPr>
            <w:tcW w:w="8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ascii="Times New Roman" w:hAnsi="Times New Roman" w:cs="Times New Roman"/>
                <w:b/>
                <w:bCs/>
                <w:szCs w:val="21"/>
              </w:rPr>
            </w:pPr>
            <w:r>
              <w:rPr>
                <w:rFonts w:ascii="Times New Roman" w:hAnsi="Times New Roman" w:cs="Times New Roman"/>
                <w:b/>
                <w:bCs/>
                <w:szCs w:val="21"/>
              </w:rPr>
              <w:t>统一编码</w:t>
            </w:r>
          </w:p>
        </w:tc>
        <w:tc>
          <w:tcPr>
            <w:tcW w:w="13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ascii="Times New Roman" w:hAnsi="Times New Roman" w:cs="Times New Roman"/>
                <w:b/>
                <w:bCs/>
                <w:szCs w:val="21"/>
              </w:rPr>
            </w:pPr>
            <w:r>
              <w:rPr>
                <w:rFonts w:ascii="Times New Roman" w:hAnsi="Times New Roman" w:cs="Times New Roman"/>
                <w:b/>
                <w:bCs/>
                <w:szCs w:val="21"/>
              </w:rPr>
              <w:t>课程名称</w:t>
            </w:r>
          </w:p>
        </w:tc>
        <w:tc>
          <w:tcPr>
            <w:tcW w:w="4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szCs w:val="21"/>
              </w:rPr>
            </w:pPr>
            <w:r>
              <w:rPr>
                <w:rFonts w:ascii="Times New Roman" w:hAnsi="Times New Roman" w:cs="Times New Roman"/>
                <w:b/>
                <w:bCs/>
                <w:szCs w:val="21"/>
              </w:rPr>
              <w:t>学分</w:t>
            </w:r>
          </w:p>
        </w:tc>
        <w:tc>
          <w:tcPr>
            <w:tcW w:w="63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szCs w:val="21"/>
              </w:rPr>
            </w:pPr>
            <w:r>
              <w:rPr>
                <w:rFonts w:ascii="Times New Roman" w:hAnsi="Times New Roman" w:cs="Times New Roman"/>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Cs/>
                <w:szCs w:val="21"/>
              </w:rPr>
            </w:pPr>
            <w:r>
              <w:rPr>
                <w:rFonts w:ascii="Times New Roman" w:hAnsi="Times New Roman" w:cs="Times New Roman"/>
                <w:bCs/>
                <w:szCs w:val="21"/>
              </w:rPr>
              <w:t>公共学位课</w:t>
            </w:r>
          </w:p>
        </w:tc>
        <w:tc>
          <w:tcPr>
            <w:tcW w:w="35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1</w:t>
            </w:r>
          </w:p>
        </w:tc>
        <w:tc>
          <w:tcPr>
            <w:tcW w:w="60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141003</w:t>
            </w:r>
          </w:p>
        </w:tc>
        <w:tc>
          <w:tcPr>
            <w:tcW w:w="8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MLMD6003</w:t>
            </w:r>
            <w:r>
              <w:rPr>
                <w:rFonts w:hint="eastAsia" w:cs="Times New Roman" w:asciiTheme="minorEastAsia" w:hAnsiTheme="minorEastAsia"/>
                <w:szCs w:val="21"/>
              </w:rPr>
              <w:t>14</w:t>
            </w:r>
          </w:p>
        </w:tc>
        <w:tc>
          <w:tcPr>
            <w:tcW w:w="13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Cs w:val="21"/>
              </w:rPr>
            </w:pPr>
            <w:r>
              <w:rPr>
                <w:rFonts w:hint="eastAsia" w:ascii="Times New Roman" w:hAnsi="Times New Roman" w:cs="Times New Roman"/>
                <w:szCs w:val="21"/>
              </w:rPr>
              <w:t>新时代</w:t>
            </w:r>
            <w:r>
              <w:rPr>
                <w:rFonts w:ascii="Times New Roman" w:hAnsi="Times New Roman" w:cs="Times New Roman"/>
                <w:szCs w:val="21"/>
              </w:rPr>
              <w:t>中国特色社会主义理论与实践</w:t>
            </w:r>
          </w:p>
        </w:tc>
        <w:tc>
          <w:tcPr>
            <w:tcW w:w="4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2</w:t>
            </w:r>
          </w:p>
        </w:tc>
        <w:tc>
          <w:tcPr>
            <w:tcW w:w="639"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5学分</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szCs w:val="21"/>
              </w:rPr>
            </w:pPr>
          </w:p>
        </w:tc>
        <w:tc>
          <w:tcPr>
            <w:tcW w:w="352" w:type="pct"/>
            <w:tcMar>
              <w:left w:w="57" w:type="dxa"/>
              <w:right w:w="57" w:type="dxa"/>
            </w:tcMa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2</w:t>
            </w:r>
          </w:p>
        </w:tc>
        <w:tc>
          <w:tcPr>
            <w:tcW w:w="60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141005</w:t>
            </w:r>
          </w:p>
        </w:tc>
        <w:tc>
          <w:tcPr>
            <w:tcW w:w="8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PHLS6001</w:t>
            </w:r>
            <w:r>
              <w:rPr>
                <w:rFonts w:hint="eastAsia" w:cs="Times New Roman" w:asciiTheme="minorEastAsia" w:hAnsiTheme="minorEastAsia"/>
                <w:szCs w:val="21"/>
              </w:rPr>
              <w:t>14</w:t>
            </w:r>
          </w:p>
        </w:tc>
        <w:tc>
          <w:tcPr>
            <w:tcW w:w="13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Cs w:val="21"/>
              </w:rPr>
            </w:pPr>
            <w:r>
              <w:rPr>
                <w:rFonts w:ascii="Times New Roman" w:hAnsi="Times New Roman" w:cs="Times New Roman"/>
                <w:szCs w:val="21"/>
              </w:rPr>
              <w:t>自然辩证法</w:t>
            </w:r>
          </w:p>
        </w:tc>
        <w:tc>
          <w:tcPr>
            <w:tcW w:w="4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1</w:t>
            </w:r>
          </w:p>
        </w:tc>
        <w:tc>
          <w:tcPr>
            <w:tcW w:w="6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szCs w:val="21"/>
              </w:rPr>
            </w:pPr>
          </w:p>
        </w:tc>
        <w:tc>
          <w:tcPr>
            <w:tcW w:w="352" w:type="pct"/>
            <w:tcMar>
              <w:left w:w="57" w:type="dxa"/>
              <w:right w:w="57" w:type="dxa"/>
            </w:tcMa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3</w:t>
            </w:r>
          </w:p>
        </w:tc>
        <w:tc>
          <w:tcPr>
            <w:tcW w:w="60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12106</w:t>
            </w:r>
            <w:r>
              <w:rPr>
                <w:rFonts w:hint="eastAsia" w:cs="Times New Roman" w:asciiTheme="minorEastAsia" w:hAnsiTheme="minorEastAsia"/>
                <w:szCs w:val="21"/>
              </w:rPr>
              <w:t>7</w:t>
            </w:r>
          </w:p>
        </w:tc>
        <w:tc>
          <w:tcPr>
            <w:tcW w:w="8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ENGL602112</w:t>
            </w:r>
          </w:p>
        </w:tc>
        <w:tc>
          <w:tcPr>
            <w:tcW w:w="13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cs="Times New Roman"/>
                <w:szCs w:val="21"/>
              </w:rPr>
            </w:pPr>
            <w:r>
              <w:rPr>
                <w:rFonts w:hint="eastAsia" w:ascii="Times New Roman" w:hAnsi="Times New Roman" w:cs="Times New Roman"/>
                <w:szCs w:val="21"/>
              </w:rPr>
              <w:t>学术英语二</w:t>
            </w:r>
          </w:p>
        </w:tc>
        <w:tc>
          <w:tcPr>
            <w:tcW w:w="4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2</w:t>
            </w:r>
          </w:p>
        </w:tc>
        <w:tc>
          <w:tcPr>
            <w:tcW w:w="6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szCs w:val="21"/>
              </w:rPr>
            </w:pPr>
          </w:p>
        </w:tc>
        <w:tc>
          <w:tcPr>
            <w:tcW w:w="35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4</w:t>
            </w:r>
          </w:p>
        </w:tc>
        <w:tc>
          <w:tcPr>
            <w:tcW w:w="60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141006</w:t>
            </w:r>
          </w:p>
        </w:tc>
        <w:tc>
          <w:tcPr>
            <w:tcW w:w="8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MLMD6001</w:t>
            </w:r>
            <w:r>
              <w:rPr>
                <w:rFonts w:hint="eastAsia" w:cs="Times New Roman" w:asciiTheme="minorEastAsia" w:hAnsiTheme="minorEastAsia"/>
                <w:szCs w:val="21"/>
              </w:rPr>
              <w:t>14</w:t>
            </w:r>
          </w:p>
        </w:tc>
        <w:tc>
          <w:tcPr>
            <w:tcW w:w="13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cs="Times New Roman"/>
                <w:szCs w:val="21"/>
              </w:rPr>
            </w:pPr>
            <w:r>
              <w:rPr>
                <w:rFonts w:ascii="Times New Roman" w:hAnsi="Times New Roman" w:cs="Times New Roman"/>
                <w:szCs w:val="21"/>
              </w:rPr>
              <w:t>中国马克思主义与当代</w:t>
            </w:r>
          </w:p>
        </w:tc>
        <w:tc>
          <w:tcPr>
            <w:tcW w:w="4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2</w:t>
            </w:r>
          </w:p>
        </w:tc>
        <w:tc>
          <w:tcPr>
            <w:tcW w:w="639"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pacing w:val="-6"/>
                <w:szCs w:val="21"/>
              </w:rPr>
            </w:pPr>
            <w:r>
              <w:rPr>
                <w:rFonts w:ascii="Times New Roman" w:hAnsi="Times New Roman" w:cs="Times New Roman"/>
                <w:spacing w:val="-6"/>
                <w:szCs w:val="21"/>
              </w:rPr>
              <w:t>进入博士培养阶段后必选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宋体" w:hAnsi="宋体" w:eastAsia="宋体" w:cs="宋体"/>
                <w:szCs w:val="21"/>
              </w:rPr>
            </w:pPr>
            <w:r>
              <w:rPr>
                <w:rFonts w:hint="eastAsia" w:ascii="宋体" w:hAnsi="宋体" w:eastAsia="宋体" w:cs="宋体"/>
                <w:szCs w:val="21"/>
              </w:rPr>
              <w:t>学科</w:t>
            </w:r>
            <w:r>
              <w:rPr>
                <w:rFonts w:ascii="宋体" w:hAnsi="宋体" w:eastAsia="宋体" w:cs="宋体"/>
                <w:szCs w:val="21"/>
              </w:rPr>
              <w:t>学位课</w:t>
            </w:r>
          </w:p>
        </w:tc>
        <w:tc>
          <w:tcPr>
            <w:tcW w:w="352" w:type="pct"/>
            <w:tcMar>
              <w:left w:w="57" w:type="dxa"/>
              <w:right w:w="57" w:type="dxa"/>
            </w:tcMa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1</w:t>
            </w:r>
          </w:p>
        </w:tc>
        <w:tc>
          <w:tcPr>
            <w:tcW w:w="60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152050</w:t>
            </w:r>
          </w:p>
        </w:tc>
        <w:tc>
          <w:tcPr>
            <w:tcW w:w="8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PUBH6107</w:t>
            </w:r>
            <w:r>
              <w:rPr>
                <w:rFonts w:hint="eastAsia" w:cs="Times New Roman" w:asciiTheme="minorEastAsia" w:hAnsiTheme="minorEastAsia"/>
                <w:szCs w:val="21"/>
              </w:rPr>
              <w:t>15</w:t>
            </w:r>
          </w:p>
        </w:tc>
        <w:tc>
          <w:tcPr>
            <w:tcW w:w="13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Cs w:val="21"/>
              </w:rPr>
            </w:pPr>
            <w:r>
              <w:rPr>
                <w:rFonts w:ascii="Times New Roman" w:hAnsi="Times New Roman" w:cs="Times New Roman"/>
                <w:szCs w:val="21"/>
              </w:rPr>
              <w:t>医学统计学</w:t>
            </w:r>
          </w:p>
        </w:tc>
        <w:tc>
          <w:tcPr>
            <w:tcW w:w="4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2</w:t>
            </w:r>
          </w:p>
        </w:tc>
        <w:tc>
          <w:tcPr>
            <w:tcW w:w="639"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8学分</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szCs w:val="21"/>
              </w:rPr>
            </w:pPr>
          </w:p>
        </w:tc>
        <w:tc>
          <w:tcPr>
            <w:tcW w:w="35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2</w:t>
            </w:r>
          </w:p>
        </w:tc>
        <w:tc>
          <w:tcPr>
            <w:tcW w:w="60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hint="eastAsia" w:cs="Times New Roman" w:asciiTheme="minorEastAsia" w:hAnsiTheme="minorEastAsia"/>
                <w:szCs w:val="21"/>
              </w:rPr>
              <w:t>153043</w:t>
            </w:r>
          </w:p>
        </w:tc>
        <w:tc>
          <w:tcPr>
            <w:tcW w:w="8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BASM6125</w:t>
            </w:r>
            <w:r>
              <w:rPr>
                <w:rFonts w:hint="eastAsia" w:cs="Times New Roman" w:asciiTheme="minorEastAsia" w:hAnsiTheme="minorEastAsia"/>
                <w:szCs w:val="21"/>
              </w:rPr>
              <w:t>15</w:t>
            </w:r>
          </w:p>
        </w:tc>
        <w:tc>
          <w:tcPr>
            <w:tcW w:w="13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cs="Times New Roman"/>
                <w:szCs w:val="21"/>
              </w:rPr>
            </w:pPr>
            <w:r>
              <w:rPr>
                <w:rFonts w:hint="eastAsia" w:cs="Times New Roman" w:asciiTheme="minorEastAsia" w:hAnsiTheme="minorEastAsia"/>
                <w:szCs w:val="21"/>
              </w:rPr>
              <w:t>Medical</w:t>
            </w:r>
            <w:r>
              <w:rPr>
                <w:rFonts w:cs="Times New Roman" w:asciiTheme="minorEastAsia" w:hAnsiTheme="minorEastAsia"/>
                <w:szCs w:val="21"/>
              </w:rPr>
              <w:t xml:space="preserve"> </w:t>
            </w:r>
            <w:r>
              <w:rPr>
                <w:rFonts w:hint="eastAsia" w:cs="Times New Roman" w:asciiTheme="minorEastAsia" w:hAnsiTheme="minorEastAsia"/>
                <w:szCs w:val="21"/>
              </w:rPr>
              <w:t>Molecular</w:t>
            </w:r>
            <w:r>
              <w:rPr>
                <w:rFonts w:cs="Times New Roman" w:asciiTheme="minorEastAsia" w:hAnsiTheme="minorEastAsia"/>
                <w:szCs w:val="21"/>
              </w:rPr>
              <w:t xml:space="preserve"> </w:t>
            </w:r>
            <w:r>
              <w:rPr>
                <w:rFonts w:hint="eastAsia" w:cs="Times New Roman" w:asciiTheme="minorEastAsia" w:hAnsiTheme="minorEastAsia"/>
                <w:szCs w:val="21"/>
              </w:rPr>
              <w:t>Biology（全英文）</w:t>
            </w:r>
          </w:p>
        </w:tc>
        <w:tc>
          <w:tcPr>
            <w:tcW w:w="4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2</w:t>
            </w:r>
          </w:p>
        </w:tc>
        <w:tc>
          <w:tcPr>
            <w:tcW w:w="6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szCs w:val="21"/>
              </w:rPr>
            </w:pPr>
          </w:p>
        </w:tc>
        <w:tc>
          <w:tcPr>
            <w:tcW w:w="352" w:type="pct"/>
            <w:tcMar>
              <w:left w:w="57" w:type="dxa"/>
              <w:right w:w="57" w:type="dxa"/>
            </w:tcMa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3</w:t>
            </w:r>
          </w:p>
        </w:tc>
        <w:tc>
          <w:tcPr>
            <w:tcW w:w="60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152125</w:t>
            </w:r>
          </w:p>
        </w:tc>
        <w:tc>
          <w:tcPr>
            <w:tcW w:w="8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PHMA6107</w:t>
            </w:r>
            <w:r>
              <w:rPr>
                <w:rFonts w:hint="eastAsia" w:cs="Times New Roman" w:asciiTheme="minorEastAsia" w:hAnsiTheme="minorEastAsia"/>
                <w:szCs w:val="21"/>
              </w:rPr>
              <w:t>15</w:t>
            </w:r>
          </w:p>
        </w:tc>
        <w:tc>
          <w:tcPr>
            <w:tcW w:w="13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Cs w:val="21"/>
              </w:rPr>
            </w:pPr>
            <w:r>
              <w:rPr>
                <w:rFonts w:ascii="Times New Roman" w:hAnsi="Times New Roman" w:cs="Times New Roman"/>
                <w:szCs w:val="21"/>
              </w:rPr>
              <w:t>生物分析技术</w:t>
            </w:r>
          </w:p>
        </w:tc>
        <w:tc>
          <w:tcPr>
            <w:tcW w:w="4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2</w:t>
            </w:r>
          </w:p>
        </w:tc>
        <w:tc>
          <w:tcPr>
            <w:tcW w:w="6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szCs w:val="21"/>
              </w:rPr>
            </w:pPr>
          </w:p>
        </w:tc>
        <w:tc>
          <w:tcPr>
            <w:tcW w:w="352" w:type="pct"/>
            <w:tcMar>
              <w:left w:w="57" w:type="dxa"/>
              <w:right w:w="57" w:type="dxa"/>
            </w:tcMa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4</w:t>
            </w:r>
          </w:p>
        </w:tc>
        <w:tc>
          <w:tcPr>
            <w:tcW w:w="60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152126</w:t>
            </w:r>
          </w:p>
        </w:tc>
        <w:tc>
          <w:tcPr>
            <w:tcW w:w="8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PHMA6108</w:t>
            </w:r>
            <w:r>
              <w:rPr>
                <w:rFonts w:hint="eastAsia" w:cs="Times New Roman" w:asciiTheme="minorEastAsia" w:hAnsiTheme="minorEastAsia"/>
                <w:szCs w:val="21"/>
              </w:rPr>
              <w:t>15</w:t>
            </w:r>
          </w:p>
        </w:tc>
        <w:tc>
          <w:tcPr>
            <w:tcW w:w="13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Cs w:val="21"/>
              </w:rPr>
            </w:pPr>
            <w:r>
              <w:rPr>
                <w:rFonts w:ascii="Times New Roman" w:hAnsi="Times New Roman" w:cs="Times New Roman"/>
                <w:szCs w:val="21"/>
              </w:rPr>
              <w:t>现代分离技术</w:t>
            </w:r>
          </w:p>
        </w:tc>
        <w:tc>
          <w:tcPr>
            <w:tcW w:w="4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2</w:t>
            </w:r>
          </w:p>
        </w:tc>
        <w:tc>
          <w:tcPr>
            <w:tcW w:w="6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szCs w:val="21"/>
              </w:rPr>
            </w:pPr>
          </w:p>
        </w:tc>
        <w:tc>
          <w:tcPr>
            <w:tcW w:w="352" w:type="pct"/>
            <w:tcMar>
              <w:left w:w="57" w:type="dxa"/>
              <w:right w:w="57" w:type="dxa"/>
            </w:tcMa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1</w:t>
            </w:r>
          </w:p>
        </w:tc>
        <w:tc>
          <w:tcPr>
            <w:tcW w:w="60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152131</w:t>
            </w:r>
          </w:p>
        </w:tc>
        <w:tc>
          <w:tcPr>
            <w:tcW w:w="8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PHMA7106</w:t>
            </w:r>
            <w:r>
              <w:rPr>
                <w:rFonts w:hint="eastAsia" w:cs="Times New Roman" w:asciiTheme="minorEastAsia" w:hAnsiTheme="minorEastAsia"/>
                <w:szCs w:val="21"/>
              </w:rPr>
              <w:t>15</w:t>
            </w:r>
          </w:p>
        </w:tc>
        <w:tc>
          <w:tcPr>
            <w:tcW w:w="13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Cs w:val="21"/>
              </w:rPr>
            </w:pPr>
            <w:r>
              <w:rPr>
                <w:rFonts w:ascii="Times New Roman" w:hAnsi="Times New Roman" w:cs="Times New Roman"/>
                <w:szCs w:val="21"/>
              </w:rPr>
              <w:t>药物化学（2）</w:t>
            </w:r>
          </w:p>
        </w:tc>
        <w:tc>
          <w:tcPr>
            <w:tcW w:w="4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2</w:t>
            </w:r>
          </w:p>
        </w:tc>
        <w:tc>
          <w:tcPr>
            <w:tcW w:w="639"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根据学生的专业选修2学分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szCs w:val="21"/>
              </w:rPr>
            </w:pPr>
          </w:p>
        </w:tc>
        <w:tc>
          <w:tcPr>
            <w:tcW w:w="352" w:type="pct"/>
            <w:tcMar>
              <w:left w:w="57" w:type="dxa"/>
              <w:right w:w="57" w:type="dxa"/>
            </w:tcMa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2</w:t>
            </w:r>
          </w:p>
        </w:tc>
        <w:tc>
          <w:tcPr>
            <w:tcW w:w="60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172014</w:t>
            </w:r>
          </w:p>
        </w:tc>
        <w:tc>
          <w:tcPr>
            <w:tcW w:w="8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PHMA7105</w:t>
            </w:r>
            <w:r>
              <w:rPr>
                <w:rFonts w:hint="eastAsia" w:cs="Times New Roman" w:asciiTheme="minorEastAsia" w:hAnsiTheme="minorEastAsia"/>
                <w:szCs w:val="21"/>
              </w:rPr>
              <w:t>15</w:t>
            </w:r>
          </w:p>
        </w:tc>
        <w:tc>
          <w:tcPr>
            <w:tcW w:w="13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Cs w:val="21"/>
              </w:rPr>
            </w:pPr>
            <w:r>
              <w:rPr>
                <w:rFonts w:ascii="Times New Roman" w:hAnsi="Times New Roman" w:cs="Times New Roman"/>
                <w:szCs w:val="21"/>
              </w:rPr>
              <w:t>药剂学（2）</w:t>
            </w:r>
          </w:p>
        </w:tc>
        <w:tc>
          <w:tcPr>
            <w:tcW w:w="4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2</w:t>
            </w:r>
          </w:p>
        </w:tc>
        <w:tc>
          <w:tcPr>
            <w:tcW w:w="6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szCs w:val="21"/>
              </w:rPr>
            </w:pPr>
          </w:p>
        </w:tc>
        <w:tc>
          <w:tcPr>
            <w:tcW w:w="352" w:type="pct"/>
            <w:tcMar>
              <w:left w:w="57" w:type="dxa"/>
              <w:right w:w="57" w:type="dxa"/>
            </w:tcMa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3</w:t>
            </w:r>
          </w:p>
        </w:tc>
        <w:tc>
          <w:tcPr>
            <w:tcW w:w="60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172005</w:t>
            </w:r>
          </w:p>
        </w:tc>
        <w:tc>
          <w:tcPr>
            <w:tcW w:w="8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PHMA7104</w:t>
            </w:r>
            <w:r>
              <w:rPr>
                <w:rFonts w:hint="eastAsia" w:cs="Times New Roman" w:asciiTheme="minorEastAsia" w:hAnsiTheme="minorEastAsia"/>
                <w:szCs w:val="21"/>
              </w:rPr>
              <w:t>15</w:t>
            </w:r>
          </w:p>
        </w:tc>
        <w:tc>
          <w:tcPr>
            <w:tcW w:w="13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Cs w:val="21"/>
              </w:rPr>
            </w:pPr>
            <w:r>
              <w:rPr>
                <w:rFonts w:ascii="Times New Roman" w:hAnsi="Times New Roman" w:cs="Times New Roman"/>
                <w:szCs w:val="21"/>
              </w:rPr>
              <w:t>生药学（2）</w:t>
            </w:r>
          </w:p>
        </w:tc>
        <w:tc>
          <w:tcPr>
            <w:tcW w:w="4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2</w:t>
            </w:r>
          </w:p>
        </w:tc>
        <w:tc>
          <w:tcPr>
            <w:tcW w:w="6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szCs w:val="21"/>
              </w:rPr>
            </w:pPr>
          </w:p>
        </w:tc>
        <w:tc>
          <w:tcPr>
            <w:tcW w:w="352" w:type="pct"/>
            <w:tcMar>
              <w:left w:w="57" w:type="dxa"/>
              <w:right w:w="57" w:type="dxa"/>
            </w:tcMa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4</w:t>
            </w:r>
          </w:p>
        </w:tc>
        <w:tc>
          <w:tcPr>
            <w:tcW w:w="60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172004</w:t>
            </w:r>
          </w:p>
        </w:tc>
        <w:tc>
          <w:tcPr>
            <w:tcW w:w="8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PHMA7103</w:t>
            </w:r>
            <w:r>
              <w:rPr>
                <w:rFonts w:hint="eastAsia" w:cs="Times New Roman" w:asciiTheme="minorEastAsia" w:hAnsiTheme="minorEastAsia"/>
                <w:szCs w:val="21"/>
              </w:rPr>
              <w:t>15</w:t>
            </w:r>
          </w:p>
        </w:tc>
        <w:tc>
          <w:tcPr>
            <w:tcW w:w="13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Cs w:val="21"/>
              </w:rPr>
            </w:pPr>
            <w:r>
              <w:rPr>
                <w:rFonts w:ascii="Times New Roman" w:hAnsi="Times New Roman" w:cs="Times New Roman"/>
                <w:szCs w:val="21"/>
              </w:rPr>
              <w:t>药物分析学（2）</w:t>
            </w:r>
          </w:p>
        </w:tc>
        <w:tc>
          <w:tcPr>
            <w:tcW w:w="4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2</w:t>
            </w:r>
          </w:p>
        </w:tc>
        <w:tc>
          <w:tcPr>
            <w:tcW w:w="6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szCs w:val="21"/>
              </w:rPr>
            </w:pPr>
          </w:p>
        </w:tc>
        <w:tc>
          <w:tcPr>
            <w:tcW w:w="352" w:type="pct"/>
            <w:tcMar>
              <w:left w:w="57" w:type="dxa"/>
              <w:right w:w="57" w:type="dxa"/>
            </w:tcMa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5</w:t>
            </w:r>
          </w:p>
        </w:tc>
        <w:tc>
          <w:tcPr>
            <w:tcW w:w="60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152133</w:t>
            </w:r>
          </w:p>
        </w:tc>
        <w:tc>
          <w:tcPr>
            <w:tcW w:w="8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PHMA7102</w:t>
            </w:r>
            <w:r>
              <w:rPr>
                <w:rFonts w:hint="eastAsia" w:cs="Times New Roman" w:asciiTheme="minorEastAsia" w:hAnsiTheme="minorEastAsia"/>
                <w:szCs w:val="21"/>
              </w:rPr>
              <w:t>15</w:t>
            </w:r>
          </w:p>
        </w:tc>
        <w:tc>
          <w:tcPr>
            <w:tcW w:w="13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Cs w:val="21"/>
              </w:rPr>
            </w:pPr>
            <w:r>
              <w:rPr>
                <w:rFonts w:ascii="Times New Roman" w:hAnsi="Times New Roman" w:cs="Times New Roman"/>
                <w:szCs w:val="21"/>
              </w:rPr>
              <w:t>微生物与生化药学（2）</w:t>
            </w:r>
          </w:p>
        </w:tc>
        <w:tc>
          <w:tcPr>
            <w:tcW w:w="4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2</w:t>
            </w:r>
          </w:p>
        </w:tc>
        <w:tc>
          <w:tcPr>
            <w:tcW w:w="6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szCs w:val="21"/>
              </w:rPr>
            </w:pPr>
          </w:p>
        </w:tc>
        <w:tc>
          <w:tcPr>
            <w:tcW w:w="352" w:type="pct"/>
            <w:tcMar>
              <w:left w:w="57" w:type="dxa"/>
              <w:right w:w="57" w:type="dxa"/>
            </w:tcMa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6</w:t>
            </w:r>
          </w:p>
        </w:tc>
        <w:tc>
          <w:tcPr>
            <w:tcW w:w="60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152087</w:t>
            </w:r>
          </w:p>
        </w:tc>
        <w:tc>
          <w:tcPr>
            <w:tcW w:w="8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PHMA7101</w:t>
            </w:r>
            <w:r>
              <w:rPr>
                <w:rFonts w:hint="eastAsia" w:cs="Times New Roman" w:asciiTheme="minorEastAsia" w:hAnsiTheme="minorEastAsia"/>
                <w:szCs w:val="21"/>
              </w:rPr>
              <w:t>15</w:t>
            </w:r>
          </w:p>
        </w:tc>
        <w:tc>
          <w:tcPr>
            <w:tcW w:w="13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Cs w:val="21"/>
              </w:rPr>
            </w:pPr>
            <w:r>
              <w:rPr>
                <w:rFonts w:ascii="Times New Roman" w:hAnsi="Times New Roman" w:cs="Times New Roman"/>
                <w:szCs w:val="21"/>
              </w:rPr>
              <w:t>药理学（2）</w:t>
            </w:r>
          </w:p>
        </w:tc>
        <w:tc>
          <w:tcPr>
            <w:tcW w:w="4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2</w:t>
            </w:r>
          </w:p>
        </w:tc>
        <w:tc>
          <w:tcPr>
            <w:tcW w:w="6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szCs w:val="21"/>
              </w:rPr>
            </w:pPr>
          </w:p>
        </w:tc>
        <w:tc>
          <w:tcPr>
            <w:tcW w:w="352" w:type="pct"/>
            <w:tcMar>
              <w:left w:w="57" w:type="dxa"/>
              <w:right w:w="57" w:type="dxa"/>
            </w:tcMa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7</w:t>
            </w:r>
          </w:p>
        </w:tc>
        <w:tc>
          <w:tcPr>
            <w:tcW w:w="60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152165</w:t>
            </w:r>
          </w:p>
        </w:tc>
        <w:tc>
          <w:tcPr>
            <w:tcW w:w="8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PHMA7107</w:t>
            </w:r>
            <w:r>
              <w:rPr>
                <w:rFonts w:hint="eastAsia" w:cs="Times New Roman" w:asciiTheme="minorEastAsia" w:hAnsiTheme="minorEastAsia"/>
                <w:szCs w:val="21"/>
              </w:rPr>
              <w:t>15</w:t>
            </w:r>
          </w:p>
        </w:tc>
        <w:tc>
          <w:tcPr>
            <w:tcW w:w="13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Cs w:val="21"/>
              </w:rPr>
            </w:pPr>
            <w:r>
              <w:rPr>
                <w:rFonts w:ascii="Times New Roman" w:hAnsi="Times New Roman" w:cs="Times New Roman"/>
                <w:szCs w:val="21"/>
              </w:rPr>
              <w:t>天然药物化学（2）</w:t>
            </w:r>
          </w:p>
        </w:tc>
        <w:tc>
          <w:tcPr>
            <w:tcW w:w="4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2</w:t>
            </w:r>
          </w:p>
        </w:tc>
        <w:tc>
          <w:tcPr>
            <w:tcW w:w="6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szCs w:val="21"/>
              </w:rPr>
            </w:pPr>
          </w:p>
        </w:tc>
        <w:tc>
          <w:tcPr>
            <w:tcW w:w="352" w:type="pct"/>
            <w:tcMar>
              <w:left w:w="57" w:type="dxa"/>
              <w:right w:w="57" w:type="dxa"/>
            </w:tcMa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8</w:t>
            </w:r>
          </w:p>
        </w:tc>
        <w:tc>
          <w:tcPr>
            <w:tcW w:w="60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152166</w:t>
            </w:r>
          </w:p>
        </w:tc>
        <w:tc>
          <w:tcPr>
            <w:tcW w:w="8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PHMA7108</w:t>
            </w:r>
            <w:r>
              <w:rPr>
                <w:rFonts w:hint="eastAsia" w:cs="Times New Roman" w:asciiTheme="minorEastAsia" w:hAnsiTheme="minorEastAsia"/>
                <w:szCs w:val="21"/>
              </w:rPr>
              <w:t>15</w:t>
            </w:r>
          </w:p>
        </w:tc>
        <w:tc>
          <w:tcPr>
            <w:tcW w:w="13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Cs w:val="21"/>
              </w:rPr>
            </w:pPr>
            <w:r>
              <w:rPr>
                <w:rFonts w:ascii="Times New Roman" w:hAnsi="Times New Roman" w:cs="Times New Roman"/>
                <w:szCs w:val="21"/>
              </w:rPr>
              <w:t>药事管理学（2）</w:t>
            </w:r>
          </w:p>
        </w:tc>
        <w:tc>
          <w:tcPr>
            <w:tcW w:w="4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2</w:t>
            </w:r>
          </w:p>
        </w:tc>
        <w:tc>
          <w:tcPr>
            <w:tcW w:w="6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宋体" w:hAnsi="宋体" w:eastAsia="宋体" w:cs="宋体"/>
                <w:szCs w:val="21"/>
              </w:rPr>
            </w:pPr>
            <w:r>
              <w:rPr>
                <w:rFonts w:hint="eastAsia" w:ascii="宋体" w:hAnsi="宋体" w:eastAsia="宋体" w:cs="宋体"/>
                <w:szCs w:val="21"/>
              </w:rPr>
              <w:t>学科</w:t>
            </w:r>
            <w:r>
              <w:rPr>
                <w:rFonts w:ascii="宋体" w:hAnsi="宋体" w:eastAsia="宋体" w:cs="宋体"/>
                <w:szCs w:val="21"/>
              </w:rPr>
              <w:t>选修课</w:t>
            </w:r>
          </w:p>
        </w:tc>
        <w:tc>
          <w:tcPr>
            <w:tcW w:w="35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1</w:t>
            </w:r>
          </w:p>
        </w:tc>
        <w:tc>
          <w:tcPr>
            <w:tcW w:w="60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152075</w:t>
            </w:r>
          </w:p>
        </w:tc>
        <w:tc>
          <w:tcPr>
            <w:tcW w:w="8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BASM6117</w:t>
            </w:r>
            <w:r>
              <w:rPr>
                <w:rFonts w:hint="eastAsia" w:cs="Times New Roman" w:asciiTheme="minorEastAsia" w:hAnsiTheme="minorEastAsia"/>
                <w:szCs w:val="21"/>
              </w:rPr>
              <w:t>15</w:t>
            </w:r>
          </w:p>
        </w:tc>
        <w:tc>
          <w:tcPr>
            <w:tcW w:w="13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Cs w:val="21"/>
              </w:rPr>
            </w:pPr>
            <w:r>
              <w:rPr>
                <w:rFonts w:ascii="Times New Roman" w:hAnsi="Times New Roman" w:cs="Times New Roman"/>
                <w:szCs w:val="21"/>
              </w:rPr>
              <w:t>医学科学研究导论</w:t>
            </w:r>
          </w:p>
        </w:tc>
        <w:tc>
          <w:tcPr>
            <w:tcW w:w="4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2</w:t>
            </w:r>
          </w:p>
        </w:tc>
        <w:tc>
          <w:tcPr>
            <w:tcW w:w="639"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I类选修课</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ascii="Times New Roman" w:hAnsi="Times New Roman" w:cs="Times New Roman"/>
                <w:szCs w:val="21"/>
              </w:rPr>
              <w:t>≥4学分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szCs w:val="21"/>
              </w:rPr>
            </w:pPr>
          </w:p>
        </w:tc>
        <w:tc>
          <w:tcPr>
            <w:tcW w:w="352" w:type="pct"/>
            <w:tcMar>
              <w:left w:w="57" w:type="dxa"/>
              <w:right w:w="57" w:type="dxa"/>
            </w:tcMa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2</w:t>
            </w:r>
          </w:p>
        </w:tc>
        <w:tc>
          <w:tcPr>
            <w:tcW w:w="60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152078</w:t>
            </w:r>
          </w:p>
        </w:tc>
        <w:tc>
          <w:tcPr>
            <w:tcW w:w="8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BASM6118</w:t>
            </w:r>
            <w:r>
              <w:rPr>
                <w:rFonts w:hint="eastAsia" w:cs="Times New Roman" w:asciiTheme="minorEastAsia" w:hAnsiTheme="minorEastAsia"/>
                <w:szCs w:val="21"/>
              </w:rPr>
              <w:t>15</w:t>
            </w:r>
          </w:p>
        </w:tc>
        <w:tc>
          <w:tcPr>
            <w:tcW w:w="13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Cs w:val="21"/>
              </w:rPr>
            </w:pPr>
            <w:r>
              <w:rPr>
                <w:rFonts w:ascii="Times New Roman" w:hAnsi="Times New Roman" w:cs="Times New Roman"/>
                <w:szCs w:val="21"/>
              </w:rPr>
              <w:t>诺贝尔奖论文剖析</w:t>
            </w:r>
          </w:p>
        </w:tc>
        <w:tc>
          <w:tcPr>
            <w:tcW w:w="4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2</w:t>
            </w:r>
          </w:p>
        </w:tc>
        <w:tc>
          <w:tcPr>
            <w:tcW w:w="6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Merge w:val="continue"/>
            <w:tcMar>
              <w:left w:w="57" w:type="dxa"/>
              <w:right w:w="57" w:type="dxa"/>
            </w:tcMa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szCs w:val="21"/>
              </w:rPr>
            </w:pPr>
          </w:p>
        </w:tc>
        <w:tc>
          <w:tcPr>
            <w:tcW w:w="352" w:type="pct"/>
            <w:tcMar>
              <w:left w:w="57" w:type="dxa"/>
              <w:right w:w="57" w:type="dxa"/>
            </w:tcMa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3</w:t>
            </w:r>
          </w:p>
        </w:tc>
        <w:tc>
          <w:tcPr>
            <w:tcW w:w="60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172020</w:t>
            </w:r>
          </w:p>
        </w:tc>
        <w:tc>
          <w:tcPr>
            <w:tcW w:w="8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PHMA6125</w:t>
            </w:r>
            <w:r>
              <w:rPr>
                <w:rFonts w:hint="eastAsia" w:cs="Times New Roman" w:asciiTheme="minorEastAsia" w:hAnsiTheme="minorEastAsia"/>
                <w:szCs w:val="21"/>
              </w:rPr>
              <w:t>15</w:t>
            </w:r>
          </w:p>
        </w:tc>
        <w:tc>
          <w:tcPr>
            <w:tcW w:w="13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Cs w:val="21"/>
              </w:rPr>
            </w:pPr>
            <w:r>
              <w:rPr>
                <w:rFonts w:ascii="Times New Roman" w:hAnsi="Times New Roman" w:cs="Times New Roman"/>
                <w:szCs w:val="21"/>
              </w:rPr>
              <w:t>新药发现与筛选</w:t>
            </w:r>
            <w:r>
              <w:rPr>
                <w:rFonts w:hint="eastAsia" w:ascii="宋体" w:hAnsi="宋体" w:eastAsia="宋体" w:cs="宋体"/>
                <w:szCs w:val="21"/>
              </w:rPr>
              <w:t>Ⅰ</w:t>
            </w:r>
          </w:p>
        </w:tc>
        <w:tc>
          <w:tcPr>
            <w:tcW w:w="4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2</w:t>
            </w:r>
          </w:p>
        </w:tc>
        <w:tc>
          <w:tcPr>
            <w:tcW w:w="6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Merge w:val="continue"/>
            <w:tcMar>
              <w:left w:w="57" w:type="dxa"/>
              <w:right w:w="57" w:type="dxa"/>
            </w:tcMa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szCs w:val="21"/>
              </w:rPr>
            </w:pPr>
          </w:p>
        </w:tc>
        <w:tc>
          <w:tcPr>
            <w:tcW w:w="352" w:type="pct"/>
            <w:tcMar>
              <w:left w:w="57" w:type="dxa"/>
              <w:right w:w="57" w:type="dxa"/>
            </w:tcMa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4</w:t>
            </w:r>
          </w:p>
        </w:tc>
        <w:tc>
          <w:tcPr>
            <w:tcW w:w="60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152158</w:t>
            </w:r>
          </w:p>
        </w:tc>
        <w:tc>
          <w:tcPr>
            <w:tcW w:w="8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PHMA6701</w:t>
            </w:r>
            <w:r>
              <w:rPr>
                <w:rFonts w:hint="eastAsia" w:cs="Times New Roman" w:asciiTheme="minorEastAsia" w:hAnsiTheme="minorEastAsia"/>
                <w:szCs w:val="21"/>
              </w:rPr>
              <w:t>15</w:t>
            </w:r>
          </w:p>
        </w:tc>
        <w:tc>
          <w:tcPr>
            <w:tcW w:w="13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Cs w:val="21"/>
              </w:rPr>
            </w:pPr>
            <w:r>
              <w:rPr>
                <w:rFonts w:ascii="Times New Roman" w:hAnsi="Times New Roman" w:cs="Times New Roman"/>
                <w:szCs w:val="21"/>
              </w:rPr>
              <w:t>现代制剂技术</w:t>
            </w:r>
          </w:p>
        </w:tc>
        <w:tc>
          <w:tcPr>
            <w:tcW w:w="4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2</w:t>
            </w:r>
          </w:p>
        </w:tc>
        <w:tc>
          <w:tcPr>
            <w:tcW w:w="6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Merge w:val="continue"/>
            <w:tcMar>
              <w:left w:w="57" w:type="dxa"/>
              <w:right w:w="57" w:type="dxa"/>
            </w:tcMa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szCs w:val="21"/>
              </w:rPr>
            </w:pPr>
          </w:p>
        </w:tc>
        <w:tc>
          <w:tcPr>
            <w:tcW w:w="35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5</w:t>
            </w:r>
          </w:p>
        </w:tc>
        <w:tc>
          <w:tcPr>
            <w:tcW w:w="60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152190</w:t>
            </w:r>
          </w:p>
        </w:tc>
        <w:tc>
          <w:tcPr>
            <w:tcW w:w="8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PHMA6110</w:t>
            </w:r>
            <w:r>
              <w:rPr>
                <w:rFonts w:hint="eastAsia" w:cs="Times New Roman" w:asciiTheme="minorEastAsia" w:hAnsiTheme="minorEastAsia"/>
                <w:szCs w:val="21"/>
              </w:rPr>
              <w:t>15</w:t>
            </w:r>
          </w:p>
        </w:tc>
        <w:tc>
          <w:tcPr>
            <w:tcW w:w="13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Cs w:val="21"/>
              </w:rPr>
            </w:pPr>
            <w:r>
              <w:rPr>
                <w:rFonts w:ascii="Times New Roman" w:hAnsi="Times New Roman" w:cs="Times New Roman"/>
                <w:szCs w:val="21"/>
              </w:rPr>
              <w:t>药学学科前沿进展</w:t>
            </w:r>
          </w:p>
        </w:tc>
        <w:tc>
          <w:tcPr>
            <w:tcW w:w="4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2</w:t>
            </w:r>
          </w:p>
        </w:tc>
        <w:tc>
          <w:tcPr>
            <w:tcW w:w="6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1"/>
              </w:rPr>
            </w:pPr>
            <w:r>
              <w:rPr>
                <w:rFonts w:hint="eastAsia" w:ascii="宋体" w:hAnsi="宋体" w:eastAsia="宋体" w:cs="宋体"/>
                <w:szCs w:val="21"/>
              </w:rPr>
              <w:t>其他</w:t>
            </w:r>
            <w:r>
              <w:rPr>
                <w:rFonts w:ascii="宋体" w:hAnsi="宋体" w:eastAsia="宋体" w:cs="宋体"/>
                <w:szCs w:val="21"/>
              </w:rPr>
              <w:t>选修课</w:t>
            </w:r>
          </w:p>
        </w:tc>
        <w:tc>
          <w:tcPr>
            <w:tcW w:w="35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1</w:t>
            </w:r>
          </w:p>
        </w:tc>
        <w:tc>
          <w:tcPr>
            <w:tcW w:w="60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Times New Roman"/>
                <w:szCs w:val="21"/>
              </w:rPr>
            </w:pPr>
            <w:r>
              <w:rPr>
                <w:rFonts w:hint="eastAsia" w:ascii="宋体" w:hAnsi="宋体" w:eastAsia="宋体" w:cs="Times New Roman"/>
                <w:szCs w:val="21"/>
              </w:rPr>
              <w:t>153044</w:t>
            </w:r>
          </w:p>
        </w:tc>
        <w:tc>
          <w:tcPr>
            <w:tcW w:w="8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Times New Roman"/>
                <w:szCs w:val="21"/>
              </w:rPr>
            </w:pPr>
            <w:r>
              <w:rPr>
                <w:rFonts w:ascii="宋体" w:hAnsi="宋体" w:eastAsia="宋体" w:cs="Times New Roman"/>
                <w:szCs w:val="21"/>
              </w:rPr>
              <w:t>BASM612615</w:t>
            </w:r>
          </w:p>
        </w:tc>
        <w:tc>
          <w:tcPr>
            <w:tcW w:w="13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Cs w:val="21"/>
              </w:rPr>
            </w:pPr>
            <w:r>
              <w:rPr>
                <w:rFonts w:hint="eastAsia" w:ascii="Times New Roman" w:hAnsi="Times New Roman" w:eastAsia="宋体" w:cs="Times New Roman"/>
                <w:szCs w:val="21"/>
              </w:rPr>
              <w:t>研究生</w:t>
            </w:r>
            <w:r>
              <w:rPr>
                <w:rFonts w:ascii="Times New Roman" w:hAnsi="Times New Roman" w:eastAsia="宋体" w:cs="Times New Roman"/>
                <w:szCs w:val="21"/>
              </w:rPr>
              <w:t>论文写作</w:t>
            </w:r>
            <w:r>
              <w:rPr>
                <w:rFonts w:hint="eastAsia" w:ascii="Times New Roman" w:hAnsi="Times New Roman" w:eastAsia="宋体" w:cs="Times New Roman"/>
                <w:szCs w:val="21"/>
              </w:rPr>
              <w:t>指导（15）</w:t>
            </w:r>
          </w:p>
        </w:tc>
        <w:tc>
          <w:tcPr>
            <w:tcW w:w="4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（必修）</w:t>
            </w:r>
          </w:p>
        </w:tc>
        <w:tc>
          <w:tcPr>
            <w:tcW w:w="639"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II类选修</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ascii="Times New Roman" w:hAnsi="Times New Roman" w:cs="Times New Roman"/>
                <w:szCs w:val="21"/>
              </w:rPr>
              <w:t>≥4学分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1"/>
              </w:rPr>
            </w:pPr>
          </w:p>
        </w:tc>
        <w:tc>
          <w:tcPr>
            <w:tcW w:w="35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2</w:t>
            </w:r>
          </w:p>
        </w:tc>
        <w:tc>
          <w:tcPr>
            <w:tcW w:w="60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hint="eastAsia" w:ascii="Times New Roman" w:hAnsi="Times New Roman" w:cs="Times New Roman"/>
                <w:szCs w:val="21"/>
              </w:rPr>
              <w:t>/</w:t>
            </w:r>
          </w:p>
        </w:tc>
        <w:tc>
          <w:tcPr>
            <w:tcW w:w="8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hint="eastAsia" w:cs="Times New Roman" w:asciiTheme="minorEastAsia" w:hAnsiTheme="minorEastAsia"/>
                <w:szCs w:val="21"/>
              </w:rPr>
              <w:t>/</w:t>
            </w:r>
          </w:p>
        </w:tc>
        <w:tc>
          <w:tcPr>
            <w:tcW w:w="13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Cs w:val="21"/>
              </w:rPr>
            </w:pPr>
            <w:r>
              <w:rPr>
                <w:rFonts w:hint="eastAsia" w:ascii="Times New Roman" w:hAnsi="Times New Roman" w:cs="Times New Roman"/>
                <w:szCs w:val="21"/>
              </w:rPr>
              <w:t>在</w:t>
            </w:r>
            <w:r>
              <w:rPr>
                <w:rFonts w:ascii="Times New Roman" w:hAnsi="Times New Roman" w:cs="Times New Roman"/>
                <w:szCs w:val="21"/>
              </w:rPr>
              <w:t>通选课中至少选一门</w:t>
            </w:r>
          </w:p>
        </w:tc>
        <w:tc>
          <w:tcPr>
            <w:tcW w:w="412"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≥3</w:t>
            </w:r>
          </w:p>
        </w:tc>
        <w:tc>
          <w:tcPr>
            <w:tcW w:w="6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1"/>
              </w:rPr>
            </w:pPr>
          </w:p>
        </w:tc>
        <w:tc>
          <w:tcPr>
            <w:tcW w:w="35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3</w:t>
            </w:r>
          </w:p>
        </w:tc>
        <w:tc>
          <w:tcPr>
            <w:tcW w:w="60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hint="eastAsia" w:ascii="Times New Roman" w:hAnsi="Times New Roman" w:cs="Times New Roman"/>
                <w:szCs w:val="21"/>
              </w:rPr>
              <w:t>/</w:t>
            </w:r>
          </w:p>
        </w:tc>
        <w:tc>
          <w:tcPr>
            <w:tcW w:w="8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hint="eastAsia" w:cs="Times New Roman" w:asciiTheme="minorEastAsia" w:hAnsiTheme="minorEastAsia"/>
                <w:szCs w:val="21"/>
              </w:rPr>
              <w:t>/</w:t>
            </w:r>
          </w:p>
        </w:tc>
        <w:tc>
          <w:tcPr>
            <w:tcW w:w="1396"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Cs w:val="21"/>
              </w:rPr>
            </w:pPr>
            <w:r>
              <w:rPr>
                <w:rFonts w:ascii="Times New Roman" w:hAnsi="Times New Roman" w:eastAsia="宋体" w:cs="Times New Roman"/>
                <w:szCs w:val="21"/>
              </w:rPr>
              <w:t>研究生课程目录上选修</w:t>
            </w:r>
          </w:p>
        </w:tc>
        <w:tc>
          <w:tcPr>
            <w:tcW w:w="412"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p>
        </w:tc>
        <w:tc>
          <w:tcPr>
            <w:tcW w:w="6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szCs w:val="21"/>
              </w:rPr>
            </w:pPr>
            <w:r>
              <w:rPr>
                <w:rFonts w:hint="eastAsia" w:ascii="宋体" w:hAnsi="宋体" w:eastAsia="宋体" w:cs="宋体"/>
                <w:szCs w:val="21"/>
              </w:rPr>
              <w:t>必修</w:t>
            </w:r>
            <w:r>
              <w:rPr>
                <w:rFonts w:ascii="宋体" w:hAnsi="宋体" w:eastAsia="宋体" w:cs="宋体"/>
                <w:szCs w:val="21"/>
              </w:rPr>
              <w:t>环节</w:t>
            </w:r>
          </w:p>
        </w:tc>
        <w:tc>
          <w:tcPr>
            <w:tcW w:w="35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1</w:t>
            </w:r>
          </w:p>
        </w:tc>
        <w:tc>
          <w:tcPr>
            <w:tcW w:w="60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001999</w:t>
            </w:r>
          </w:p>
        </w:tc>
        <w:tc>
          <w:tcPr>
            <w:tcW w:w="8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BXHJ8003</w:t>
            </w:r>
            <w:r>
              <w:rPr>
                <w:rFonts w:hint="eastAsia" w:cs="Times New Roman" w:asciiTheme="minorEastAsia" w:hAnsiTheme="minorEastAsia"/>
                <w:szCs w:val="21"/>
              </w:rPr>
              <w:t>99</w:t>
            </w:r>
          </w:p>
        </w:tc>
        <w:tc>
          <w:tcPr>
            <w:tcW w:w="1396"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cs="Times New Roman"/>
                <w:szCs w:val="21"/>
              </w:rPr>
            </w:pPr>
            <w:r>
              <w:rPr>
                <w:rFonts w:ascii="Times New Roman" w:hAnsi="Times New Roman" w:cs="Times New Roman"/>
                <w:szCs w:val="21"/>
              </w:rPr>
              <w:t>学术活动（讲座）博</w:t>
            </w:r>
          </w:p>
        </w:tc>
        <w:tc>
          <w:tcPr>
            <w:tcW w:w="4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Cs w:val="21"/>
              </w:rPr>
            </w:pPr>
            <w:r>
              <w:rPr>
                <w:rFonts w:ascii="Times New Roman" w:hAnsi="Times New Roman" w:cs="Times New Roman"/>
                <w:szCs w:val="21"/>
              </w:rPr>
              <w:t>2（硕1）</w:t>
            </w:r>
          </w:p>
        </w:tc>
        <w:tc>
          <w:tcPr>
            <w:tcW w:w="639"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Cs w:val="21"/>
              </w:rPr>
            </w:pP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Cs w:val="21"/>
              </w:rPr>
            </w:pPr>
            <w:r>
              <w:rPr>
                <w:rFonts w:hint="eastAsia" w:ascii="Times New Roman" w:hAnsi="Times New Roman" w:cs="Times New Roman"/>
                <w:szCs w:val="21"/>
              </w:rPr>
              <w:t>17学分</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Cs w:val="21"/>
              </w:rPr>
            </w:pPr>
            <w:r>
              <w:rPr>
                <w:rFonts w:hint="eastAsia" w:ascii="Times New Roman" w:hAnsi="Times New Roman" w:cs="Times New Roman"/>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szCs w:val="21"/>
              </w:rPr>
            </w:pPr>
          </w:p>
        </w:tc>
        <w:tc>
          <w:tcPr>
            <w:tcW w:w="35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2</w:t>
            </w:r>
          </w:p>
        </w:tc>
        <w:tc>
          <w:tcPr>
            <w:tcW w:w="60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001987</w:t>
            </w:r>
          </w:p>
        </w:tc>
        <w:tc>
          <w:tcPr>
            <w:tcW w:w="8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BXHJ6006</w:t>
            </w:r>
            <w:r>
              <w:rPr>
                <w:rFonts w:hint="eastAsia" w:cs="Times New Roman" w:asciiTheme="minorEastAsia" w:hAnsiTheme="minorEastAsia"/>
                <w:szCs w:val="21"/>
              </w:rPr>
              <w:t>99</w:t>
            </w:r>
          </w:p>
        </w:tc>
        <w:tc>
          <w:tcPr>
            <w:tcW w:w="1396"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cs="Times New Roman"/>
                <w:szCs w:val="21"/>
              </w:rPr>
            </w:pPr>
            <w:r>
              <w:rPr>
                <w:rFonts w:ascii="Times New Roman" w:hAnsi="Times New Roman" w:cs="Times New Roman"/>
                <w:szCs w:val="21"/>
              </w:rPr>
              <w:t>社会实践</w:t>
            </w:r>
          </w:p>
        </w:tc>
        <w:tc>
          <w:tcPr>
            <w:tcW w:w="4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Cs w:val="21"/>
              </w:rPr>
            </w:pPr>
            <w:r>
              <w:rPr>
                <w:rFonts w:ascii="Times New Roman" w:hAnsi="Times New Roman" w:cs="Times New Roman"/>
                <w:szCs w:val="21"/>
              </w:rPr>
              <w:t>1（硕1）</w:t>
            </w:r>
          </w:p>
        </w:tc>
        <w:tc>
          <w:tcPr>
            <w:tcW w:w="6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szCs w:val="21"/>
              </w:rPr>
            </w:pPr>
          </w:p>
        </w:tc>
        <w:tc>
          <w:tcPr>
            <w:tcW w:w="35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3</w:t>
            </w:r>
          </w:p>
        </w:tc>
        <w:tc>
          <w:tcPr>
            <w:tcW w:w="60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001972</w:t>
            </w:r>
          </w:p>
        </w:tc>
        <w:tc>
          <w:tcPr>
            <w:tcW w:w="8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BXHJ8007</w:t>
            </w:r>
            <w:r>
              <w:rPr>
                <w:rFonts w:hint="eastAsia" w:cs="Times New Roman" w:asciiTheme="minorEastAsia" w:hAnsiTheme="minorEastAsia"/>
                <w:szCs w:val="21"/>
              </w:rPr>
              <w:t>99</w:t>
            </w:r>
          </w:p>
        </w:tc>
        <w:tc>
          <w:tcPr>
            <w:tcW w:w="1396"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cs="Times New Roman"/>
                <w:szCs w:val="21"/>
              </w:rPr>
            </w:pPr>
            <w:r>
              <w:rPr>
                <w:rFonts w:ascii="Times New Roman" w:hAnsi="Times New Roman" w:cs="Times New Roman"/>
                <w:szCs w:val="21"/>
              </w:rPr>
              <w:t>两助一辅</w:t>
            </w:r>
          </w:p>
        </w:tc>
        <w:tc>
          <w:tcPr>
            <w:tcW w:w="4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2</w:t>
            </w:r>
          </w:p>
        </w:tc>
        <w:tc>
          <w:tcPr>
            <w:tcW w:w="6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szCs w:val="21"/>
              </w:rPr>
            </w:pPr>
          </w:p>
        </w:tc>
        <w:tc>
          <w:tcPr>
            <w:tcW w:w="35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4</w:t>
            </w:r>
          </w:p>
        </w:tc>
        <w:tc>
          <w:tcPr>
            <w:tcW w:w="60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001995</w:t>
            </w:r>
          </w:p>
        </w:tc>
        <w:tc>
          <w:tcPr>
            <w:tcW w:w="8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BXHJ8002</w:t>
            </w:r>
            <w:r>
              <w:rPr>
                <w:rFonts w:hint="eastAsia" w:cs="Times New Roman" w:asciiTheme="minorEastAsia" w:hAnsiTheme="minorEastAsia"/>
                <w:szCs w:val="21"/>
              </w:rPr>
              <w:t>99</w:t>
            </w:r>
          </w:p>
        </w:tc>
        <w:tc>
          <w:tcPr>
            <w:tcW w:w="1396"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cs="Times New Roman"/>
                <w:szCs w:val="21"/>
              </w:rPr>
            </w:pPr>
            <w:r>
              <w:rPr>
                <w:rFonts w:ascii="Times New Roman" w:hAnsi="Times New Roman" w:cs="Times New Roman"/>
                <w:szCs w:val="21"/>
              </w:rPr>
              <w:t>基金撰写</w:t>
            </w:r>
          </w:p>
        </w:tc>
        <w:tc>
          <w:tcPr>
            <w:tcW w:w="4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1</w:t>
            </w:r>
          </w:p>
        </w:tc>
        <w:tc>
          <w:tcPr>
            <w:tcW w:w="6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szCs w:val="21"/>
              </w:rPr>
            </w:pPr>
          </w:p>
        </w:tc>
        <w:tc>
          <w:tcPr>
            <w:tcW w:w="35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5</w:t>
            </w:r>
          </w:p>
        </w:tc>
        <w:tc>
          <w:tcPr>
            <w:tcW w:w="60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001970</w:t>
            </w:r>
          </w:p>
        </w:tc>
        <w:tc>
          <w:tcPr>
            <w:tcW w:w="831"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BXHJ8009</w:t>
            </w:r>
            <w:r>
              <w:rPr>
                <w:rFonts w:hint="eastAsia" w:cs="Times New Roman" w:asciiTheme="minorEastAsia" w:hAnsiTheme="minorEastAsia"/>
                <w:szCs w:val="21"/>
              </w:rPr>
              <w:t>99</w:t>
            </w:r>
          </w:p>
        </w:tc>
        <w:tc>
          <w:tcPr>
            <w:tcW w:w="1396" w:type="pc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cs="Times New Roman"/>
                <w:szCs w:val="21"/>
              </w:rPr>
            </w:pPr>
            <w:r>
              <w:rPr>
                <w:rFonts w:ascii="Times New Roman" w:hAnsi="Times New Roman" w:cs="Times New Roman"/>
                <w:szCs w:val="21"/>
              </w:rPr>
              <w:t>国际化交流</w:t>
            </w:r>
          </w:p>
        </w:tc>
        <w:tc>
          <w:tcPr>
            <w:tcW w:w="412" w:type="pc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1</w:t>
            </w:r>
          </w:p>
        </w:tc>
        <w:tc>
          <w:tcPr>
            <w:tcW w:w="6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szCs w:val="21"/>
              </w:rPr>
            </w:pPr>
          </w:p>
        </w:tc>
        <w:tc>
          <w:tcPr>
            <w:tcW w:w="352" w:type="pct"/>
            <w:tcBorders>
              <w:bottom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6</w:t>
            </w:r>
          </w:p>
        </w:tc>
        <w:tc>
          <w:tcPr>
            <w:tcW w:w="601" w:type="pct"/>
            <w:tcBorders>
              <w:bottom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cs="Times New Roman" w:asciiTheme="minorEastAsia" w:hAnsiTheme="minorEastAsia"/>
                <w:szCs w:val="21"/>
              </w:rPr>
              <w:t>001986</w:t>
            </w:r>
          </w:p>
        </w:tc>
        <w:tc>
          <w:tcPr>
            <w:tcW w:w="831" w:type="pct"/>
            <w:tcBorders>
              <w:bottom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BXHJ8004</w:t>
            </w:r>
            <w:r>
              <w:rPr>
                <w:rFonts w:hint="eastAsia" w:cs="Times New Roman" w:asciiTheme="minorEastAsia" w:hAnsiTheme="minorEastAsia"/>
                <w:szCs w:val="21"/>
              </w:rPr>
              <w:t>99</w:t>
            </w:r>
          </w:p>
        </w:tc>
        <w:tc>
          <w:tcPr>
            <w:tcW w:w="1396" w:type="pct"/>
            <w:tcBorders>
              <w:bottom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cs="Times New Roman"/>
                <w:szCs w:val="21"/>
              </w:rPr>
            </w:pPr>
            <w:r>
              <w:rPr>
                <w:rFonts w:ascii="Times New Roman" w:hAnsi="Times New Roman" w:cs="Times New Roman"/>
                <w:szCs w:val="21"/>
              </w:rPr>
              <w:t>开题报告（博）</w:t>
            </w:r>
          </w:p>
        </w:tc>
        <w:tc>
          <w:tcPr>
            <w:tcW w:w="412" w:type="pct"/>
            <w:tcBorders>
              <w:bottom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2（硕1）</w:t>
            </w:r>
          </w:p>
        </w:tc>
        <w:tc>
          <w:tcPr>
            <w:tcW w:w="6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szCs w:val="21"/>
              </w:rPr>
            </w:pPr>
          </w:p>
        </w:tc>
        <w:tc>
          <w:tcPr>
            <w:tcW w:w="352" w:type="pct"/>
            <w:tcBorders>
              <w:top w:val="single" w:color="auto" w:sz="8" w:space="0"/>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7</w:t>
            </w:r>
          </w:p>
        </w:tc>
        <w:tc>
          <w:tcPr>
            <w:tcW w:w="601" w:type="pct"/>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001994</w:t>
            </w:r>
          </w:p>
        </w:tc>
        <w:tc>
          <w:tcPr>
            <w:tcW w:w="831" w:type="pct"/>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BXHJ8001</w:t>
            </w:r>
            <w:r>
              <w:rPr>
                <w:rFonts w:hint="eastAsia" w:cs="Times New Roman" w:asciiTheme="minorEastAsia" w:hAnsiTheme="minorEastAsia"/>
                <w:szCs w:val="21"/>
              </w:rPr>
              <w:t>99</w:t>
            </w:r>
          </w:p>
        </w:tc>
        <w:tc>
          <w:tcPr>
            <w:tcW w:w="1396" w:type="pct"/>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cs="Times New Roman"/>
                <w:szCs w:val="21"/>
              </w:rPr>
            </w:pPr>
            <w:r>
              <w:rPr>
                <w:rFonts w:ascii="Times New Roman" w:hAnsi="Times New Roman" w:cs="Times New Roman"/>
                <w:szCs w:val="21"/>
              </w:rPr>
              <w:t>中期考核（博）</w:t>
            </w:r>
          </w:p>
        </w:tc>
        <w:tc>
          <w:tcPr>
            <w:tcW w:w="412" w:type="pct"/>
            <w:tcBorders>
              <w:top w:val="single" w:color="auto" w:sz="8" w:space="0"/>
              <w:left w:val="single" w:color="auto" w:sz="8" w:space="0"/>
              <w:bottom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cs="Times New Roman"/>
                <w:szCs w:val="21"/>
              </w:rPr>
            </w:pPr>
            <w:r>
              <w:rPr>
                <w:rFonts w:ascii="Times New Roman" w:hAnsi="Times New Roman" w:cs="Times New Roman"/>
                <w:szCs w:val="21"/>
              </w:rPr>
              <w:t>6（硕3）</w:t>
            </w:r>
          </w:p>
        </w:tc>
        <w:tc>
          <w:tcPr>
            <w:tcW w:w="6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Merge w:val="continue"/>
            <w:tcMar>
              <w:left w:w="57" w:type="dxa"/>
              <w:right w:w="57" w:type="dxa"/>
            </w:tcMa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szCs w:val="21"/>
              </w:rPr>
            </w:pPr>
          </w:p>
        </w:tc>
        <w:tc>
          <w:tcPr>
            <w:tcW w:w="352" w:type="pct"/>
            <w:tcBorders>
              <w:top w:val="single" w:color="auto" w:sz="8" w:space="0"/>
              <w:bottom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8</w:t>
            </w:r>
          </w:p>
        </w:tc>
        <w:tc>
          <w:tcPr>
            <w:tcW w:w="601" w:type="pct"/>
            <w:tcBorders>
              <w:top w:val="single" w:color="auto" w:sz="8" w:space="0"/>
              <w:bottom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hint="eastAsia" w:cs="Times New Roman" w:asciiTheme="minorEastAsia" w:hAnsiTheme="minorEastAsia"/>
                <w:szCs w:val="21"/>
              </w:rPr>
              <w:t>001971</w:t>
            </w:r>
          </w:p>
        </w:tc>
        <w:tc>
          <w:tcPr>
            <w:tcW w:w="831" w:type="pct"/>
            <w:tcBorders>
              <w:top w:val="single" w:color="auto" w:sz="8" w:space="0"/>
              <w:bottom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INFT600499</w:t>
            </w:r>
          </w:p>
        </w:tc>
        <w:tc>
          <w:tcPr>
            <w:tcW w:w="1396" w:type="pct"/>
            <w:tcBorders>
              <w:top w:val="single" w:color="auto" w:sz="8" w:space="0"/>
              <w:bottom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cs="Times New Roman"/>
                <w:szCs w:val="21"/>
              </w:rPr>
            </w:pPr>
            <w:r>
              <w:rPr>
                <w:rFonts w:ascii="Times New Roman" w:hAnsi="Times New Roman" w:cs="Times New Roman"/>
                <w:szCs w:val="21"/>
              </w:rPr>
              <w:t>文献阅读</w:t>
            </w:r>
          </w:p>
        </w:tc>
        <w:tc>
          <w:tcPr>
            <w:tcW w:w="412" w:type="pct"/>
            <w:tcBorders>
              <w:top w:val="single" w:color="auto" w:sz="8" w:space="0"/>
              <w:bottom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2</w:t>
            </w:r>
          </w:p>
        </w:tc>
        <w:tc>
          <w:tcPr>
            <w:tcW w:w="6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Merge w:val="continue"/>
            <w:tcMar>
              <w:left w:w="57" w:type="dxa"/>
              <w:right w:w="57" w:type="dxa"/>
            </w:tcMa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szCs w:val="21"/>
              </w:rPr>
            </w:pPr>
          </w:p>
        </w:tc>
        <w:tc>
          <w:tcPr>
            <w:tcW w:w="352" w:type="pct"/>
            <w:tcBorders>
              <w:top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9</w:t>
            </w:r>
          </w:p>
        </w:tc>
        <w:tc>
          <w:tcPr>
            <w:tcW w:w="601" w:type="pct"/>
            <w:tcBorders>
              <w:top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hint="eastAsia" w:cs="Times New Roman" w:asciiTheme="minorEastAsia" w:hAnsiTheme="minorEastAsia"/>
                <w:szCs w:val="21"/>
              </w:rPr>
              <w:t>001954</w:t>
            </w:r>
          </w:p>
        </w:tc>
        <w:tc>
          <w:tcPr>
            <w:tcW w:w="831" w:type="pct"/>
            <w:tcBorders>
              <w:top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hint="eastAsia" w:cs="Times New Roman" w:asciiTheme="minorEastAsia" w:hAnsiTheme="minorEastAsia"/>
                <w:szCs w:val="21"/>
              </w:rPr>
              <w:t>B</w:t>
            </w:r>
            <w:r>
              <w:rPr>
                <w:rFonts w:cs="Times New Roman" w:asciiTheme="minorEastAsia" w:hAnsiTheme="minorEastAsia"/>
                <w:szCs w:val="21"/>
              </w:rPr>
              <w:t>XHJ602499</w:t>
            </w:r>
          </w:p>
        </w:tc>
        <w:tc>
          <w:tcPr>
            <w:tcW w:w="1396" w:type="pct"/>
            <w:tcBorders>
              <w:top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cs="Times New Roman"/>
                <w:szCs w:val="21"/>
              </w:rPr>
            </w:pPr>
            <w:r>
              <w:rPr>
                <w:rFonts w:hint="eastAsia" w:cs="Times New Roman" w:asciiTheme="minorEastAsia" w:hAnsiTheme="minorEastAsia"/>
                <w:szCs w:val="21"/>
              </w:rPr>
              <w:t>劳动教育</w:t>
            </w:r>
          </w:p>
        </w:tc>
        <w:tc>
          <w:tcPr>
            <w:tcW w:w="412" w:type="pct"/>
            <w:tcBorders>
              <w:top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0</w:t>
            </w:r>
          </w:p>
        </w:tc>
        <w:tc>
          <w:tcPr>
            <w:tcW w:w="6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Merge w:val="continue"/>
            <w:tcMar>
              <w:left w:w="57" w:type="dxa"/>
              <w:right w:w="57" w:type="dxa"/>
            </w:tcMa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szCs w:val="21"/>
              </w:rPr>
            </w:pPr>
          </w:p>
        </w:tc>
        <w:tc>
          <w:tcPr>
            <w:tcW w:w="352" w:type="pct"/>
            <w:tcBorders>
              <w:top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10</w:t>
            </w:r>
          </w:p>
        </w:tc>
        <w:tc>
          <w:tcPr>
            <w:tcW w:w="601" w:type="pct"/>
            <w:tcBorders>
              <w:top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hint="eastAsia" w:cs="Times New Roman" w:asciiTheme="minorEastAsia" w:hAnsiTheme="minorEastAsia"/>
                <w:szCs w:val="21"/>
              </w:rPr>
              <w:t>001955</w:t>
            </w:r>
          </w:p>
        </w:tc>
        <w:tc>
          <w:tcPr>
            <w:tcW w:w="831" w:type="pct"/>
            <w:tcBorders>
              <w:top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hint="eastAsia" w:cs="Times New Roman" w:asciiTheme="minorEastAsia" w:hAnsiTheme="minorEastAsia"/>
                <w:szCs w:val="21"/>
              </w:rPr>
              <w:t>B</w:t>
            </w:r>
            <w:r>
              <w:rPr>
                <w:rFonts w:cs="Times New Roman" w:asciiTheme="minorEastAsia" w:hAnsiTheme="minorEastAsia"/>
                <w:szCs w:val="21"/>
              </w:rPr>
              <w:t>XHJ602399</w:t>
            </w:r>
          </w:p>
        </w:tc>
        <w:tc>
          <w:tcPr>
            <w:tcW w:w="1396" w:type="pct"/>
            <w:tcBorders>
              <w:top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cs="Times New Roman" w:asciiTheme="minorEastAsia" w:hAnsiTheme="minorEastAsia"/>
                <w:szCs w:val="21"/>
              </w:rPr>
            </w:pPr>
            <w:r>
              <w:rPr>
                <w:rFonts w:hint="eastAsia" w:cs="Times New Roman" w:asciiTheme="minorEastAsia" w:hAnsiTheme="minorEastAsia"/>
                <w:szCs w:val="21"/>
              </w:rPr>
              <w:t>美育</w:t>
            </w:r>
          </w:p>
        </w:tc>
        <w:tc>
          <w:tcPr>
            <w:tcW w:w="412" w:type="pct"/>
            <w:tcBorders>
              <w:top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0</w:t>
            </w:r>
          </w:p>
        </w:tc>
        <w:tc>
          <w:tcPr>
            <w:tcW w:w="6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4" w:type="pct"/>
            <w:vMerge w:val="continue"/>
            <w:tcMar>
              <w:left w:w="57" w:type="dxa"/>
              <w:right w:w="57" w:type="dxa"/>
            </w:tcMa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szCs w:val="21"/>
              </w:rPr>
            </w:pPr>
          </w:p>
        </w:tc>
        <w:tc>
          <w:tcPr>
            <w:tcW w:w="352" w:type="pct"/>
            <w:tcBorders>
              <w:top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11</w:t>
            </w:r>
          </w:p>
        </w:tc>
        <w:tc>
          <w:tcPr>
            <w:tcW w:w="601" w:type="pct"/>
            <w:tcBorders>
              <w:top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hint="eastAsia" w:cs="Times New Roman" w:asciiTheme="minorEastAsia" w:hAnsiTheme="minorEastAsia"/>
                <w:szCs w:val="21"/>
              </w:rPr>
              <w:t>001956</w:t>
            </w:r>
          </w:p>
        </w:tc>
        <w:tc>
          <w:tcPr>
            <w:tcW w:w="831" w:type="pct"/>
            <w:tcBorders>
              <w:top w:val="single" w:color="auto"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hint="eastAsia" w:cs="Times New Roman" w:asciiTheme="minorEastAsia" w:hAnsiTheme="minorEastAsia"/>
                <w:szCs w:val="21"/>
              </w:rPr>
              <w:t>B</w:t>
            </w:r>
            <w:r>
              <w:rPr>
                <w:rFonts w:cs="Times New Roman" w:asciiTheme="minorEastAsia" w:hAnsiTheme="minorEastAsia"/>
                <w:szCs w:val="21"/>
              </w:rPr>
              <w:t>XHJ602299</w:t>
            </w:r>
          </w:p>
        </w:tc>
        <w:tc>
          <w:tcPr>
            <w:tcW w:w="1396" w:type="pct"/>
            <w:tcBorders>
              <w:top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cs="Times New Roman" w:asciiTheme="minorEastAsia" w:hAnsiTheme="minorEastAsia"/>
                <w:szCs w:val="21"/>
              </w:rPr>
            </w:pPr>
            <w:r>
              <w:rPr>
                <w:rFonts w:hint="eastAsia" w:cs="Times New Roman" w:asciiTheme="minorEastAsia" w:hAnsiTheme="minorEastAsia"/>
                <w:szCs w:val="21"/>
              </w:rPr>
              <w:t>体育</w:t>
            </w:r>
          </w:p>
        </w:tc>
        <w:tc>
          <w:tcPr>
            <w:tcW w:w="412" w:type="pct"/>
            <w:tcBorders>
              <w:top w:val="single" w:color="auto" w:sz="8" w:space="0"/>
            </w:tcBorders>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0</w:t>
            </w:r>
          </w:p>
        </w:tc>
        <w:tc>
          <w:tcPr>
            <w:tcW w:w="639"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p>
        </w:tc>
      </w:tr>
    </w:tbl>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bookmarkStart w:id="504" w:name="_Toc508811189"/>
      <w:r>
        <w:rPr>
          <w:rFonts w:ascii="黑体" w:hAnsi="黑体" w:eastAsia="黑体"/>
          <w:sz w:val="24"/>
          <w:szCs w:val="24"/>
        </w:rPr>
        <w:t>六、</w:t>
      </w:r>
      <w:r>
        <w:rPr>
          <w:rFonts w:hint="eastAsia" w:ascii="黑体" w:hAnsi="黑体" w:eastAsia="黑体"/>
          <w:sz w:val="24"/>
          <w:szCs w:val="24"/>
        </w:rPr>
        <w:t>必修</w:t>
      </w:r>
      <w:r>
        <w:rPr>
          <w:rFonts w:ascii="黑体" w:hAnsi="黑体" w:eastAsia="黑体"/>
          <w:sz w:val="24"/>
          <w:szCs w:val="24"/>
        </w:rPr>
        <w:t>环节</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．学</w:t>
      </w:r>
      <w:r>
        <w:rPr>
          <w:rFonts w:ascii="Times New Roman" w:hAnsi="Times New Roman" w:eastAsia="宋体" w:cs="Times New Roman"/>
          <w:b/>
          <w:bCs/>
          <w:szCs w:val="21"/>
        </w:rPr>
        <w:t>术活动（讲座）</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硕博贯通</w:t>
      </w:r>
      <w:r>
        <w:rPr>
          <w:rFonts w:ascii="Times New Roman" w:hAnsi="Times New Roman" w:eastAsia="宋体" w:cs="Times New Roman"/>
          <w:szCs w:val="21"/>
        </w:rPr>
        <w:t>研究生学术活动（讲座）分为必听讲座和选听讲座。必听讲座为</w:t>
      </w:r>
      <w:r>
        <w:rPr>
          <w:rFonts w:cs="Times New Roman" w:asciiTheme="minorEastAsia" w:hAnsiTheme="minorEastAsia"/>
          <w:szCs w:val="21"/>
        </w:rPr>
        <w:t>“科学道德与学风建设”</w:t>
      </w:r>
      <w:r>
        <w:rPr>
          <w:rFonts w:ascii="Times New Roman" w:hAnsi="Times New Roman" w:eastAsia="宋体" w:cs="Times New Roman"/>
          <w:szCs w:val="21"/>
        </w:rPr>
        <w:t>；选听讲座包括与学科紧密相关</w:t>
      </w:r>
      <w:r>
        <w:rPr>
          <w:rFonts w:cs="Times New Roman" w:asciiTheme="minorEastAsia" w:hAnsiTheme="minorEastAsia"/>
          <w:szCs w:val="21"/>
        </w:rPr>
        <w:t>的“学</w:t>
      </w:r>
      <w:r>
        <w:rPr>
          <w:rFonts w:ascii="Times New Roman" w:hAnsi="Times New Roman" w:eastAsia="宋体" w:cs="Times New Roman"/>
          <w:szCs w:val="21"/>
        </w:rPr>
        <w:t>科前沿系列专题</w:t>
      </w:r>
      <w:r>
        <w:rPr>
          <w:rFonts w:cs="Times New Roman" w:asciiTheme="minorEastAsia" w:hAnsiTheme="minorEastAsia"/>
          <w:szCs w:val="21"/>
        </w:rPr>
        <w:t>讲座”（</w:t>
      </w:r>
      <w:r>
        <w:rPr>
          <w:rFonts w:ascii="Times New Roman" w:hAnsi="Times New Roman" w:eastAsia="宋体" w:cs="Times New Roman"/>
          <w:szCs w:val="21"/>
        </w:rPr>
        <w:t>由各二级学科组织若干教授对本学科前沿知识进行讲座，每个讲座由5个以上讲座组成）一个系列和在全校范围内选听</w:t>
      </w:r>
      <w:r>
        <w:rPr>
          <w:rFonts w:cs="Times New Roman" w:asciiTheme="minorEastAsia" w:hAnsiTheme="minorEastAsia"/>
          <w:szCs w:val="21"/>
        </w:rPr>
        <w:t>“学术讲座”</w:t>
      </w:r>
      <w:r>
        <w:rPr>
          <w:rFonts w:ascii="Times New Roman" w:hAnsi="Times New Roman" w:eastAsia="宋体" w:cs="Times New Roman"/>
          <w:szCs w:val="21"/>
        </w:rPr>
        <w:t>1次，自己公开讲座1次，完成后记2学分</w:t>
      </w:r>
      <w:r>
        <w:rPr>
          <w:rFonts w:hint="eastAsia"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w:t>
      </w:r>
      <w:r>
        <w:rPr>
          <w:rFonts w:ascii="Times New Roman" w:hAnsi="Times New Roman" w:eastAsia="宋体" w:cs="Times New Roman"/>
          <w:b/>
          <w:bCs/>
          <w:szCs w:val="21"/>
        </w:rPr>
        <w:t>社会实践</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w:t>
      </w:r>
      <w:r>
        <w:rPr>
          <w:rFonts w:cs="Times New Roman" w:asciiTheme="minorEastAsia" w:hAnsiTheme="minorEastAsia"/>
          <w:szCs w:val="21"/>
        </w:rPr>
        <w:t>社会实践</w:t>
      </w:r>
      <w:r>
        <w:rPr>
          <w:rFonts w:hint="eastAsia" w:cs="Times New Roman" w:asciiTheme="minorEastAsia" w:hAnsiTheme="minorEastAsia"/>
          <w:szCs w:val="21"/>
        </w:rPr>
        <w:t>”</w:t>
      </w:r>
      <w:r>
        <w:rPr>
          <w:rFonts w:cs="Times New Roman" w:asciiTheme="minorEastAsia" w:hAnsiTheme="minorEastAsia"/>
          <w:szCs w:val="21"/>
        </w:rPr>
        <w:t>是指研究生在校学习期间，除完成本学科规定的业务实践外，接触社会、了解社会、服务社会的实践活动。</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可以通过组织和参与社会调查、支教、扶贫及其他志愿者服务等方式进行，提倡以小组或团队形式开展活动，累计不少于</w:t>
      </w:r>
      <w:r>
        <w:rPr>
          <w:rFonts w:ascii="Times New Roman" w:hAnsi="Times New Roman" w:cs="Times New Roman"/>
          <w:szCs w:val="21"/>
        </w:rPr>
        <w:t>10</w:t>
      </w:r>
      <w:r>
        <w:rPr>
          <w:rFonts w:cs="Times New Roman" w:asciiTheme="minorEastAsia" w:hAnsiTheme="minorEastAsia"/>
          <w:szCs w:val="21"/>
        </w:rPr>
        <w:t>个工作日。</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研</w:t>
      </w:r>
      <w:r>
        <w:rPr>
          <w:rFonts w:cs="Times New Roman" w:asciiTheme="minorEastAsia" w:hAnsiTheme="minorEastAsia"/>
          <w:spacing w:val="-2"/>
          <w:szCs w:val="21"/>
        </w:rPr>
        <w:t>究生完成</w:t>
      </w:r>
      <w:r>
        <w:rPr>
          <w:rFonts w:hint="eastAsia" w:cs="Times New Roman" w:asciiTheme="minorEastAsia" w:hAnsiTheme="minorEastAsia"/>
          <w:spacing w:val="-2"/>
          <w:szCs w:val="21"/>
        </w:rPr>
        <w:t>“</w:t>
      </w:r>
      <w:r>
        <w:rPr>
          <w:rFonts w:cs="Times New Roman" w:asciiTheme="minorEastAsia" w:hAnsiTheme="minorEastAsia"/>
          <w:spacing w:val="-2"/>
          <w:szCs w:val="21"/>
        </w:rPr>
        <w:t>社会实践</w:t>
      </w:r>
      <w:r>
        <w:rPr>
          <w:rFonts w:hint="eastAsia" w:cs="Times New Roman" w:asciiTheme="minorEastAsia" w:hAnsiTheme="minorEastAsia"/>
          <w:spacing w:val="-2"/>
          <w:szCs w:val="21"/>
        </w:rPr>
        <w:t>”</w:t>
      </w:r>
      <w:r>
        <w:rPr>
          <w:rFonts w:cs="Times New Roman" w:asciiTheme="minorEastAsia" w:hAnsiTheme="minorEastAsia"/>
          <w:spacing w:val="-2"/>
          <w:szCs w:val="21"/>
        </w:rPr>
        <w:t>活动后，需撰写不少于</w:t>
      </w:r>
      <w:r>
        <w:rPr>
          <w:rFonts w:ascii="Times New Roman" w:hAnsi="Times New Roman" w:cs="Times New Roman"/>
          <w:spacing w:val="-2"/>
          <w:szCs w:val="21"/>
        </w:rPr>
        <w:t>3000</w:t>
      </w:r>
      <w:r>
        <w:rPr>
          <w:rFonts w:cs="Times New Roman" w:asciiTheme="minorEastAsia" w:hAnsiTheme="minorEastAsia"/>
          <w:spacing w:val="-2"/>
          <w:szCs w:val="21"/>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rFonts w:ascii="Times New Roman" w:hAnsi="Times New Roman" w:cs="Times New Roman"/>
          <w:spacing w:val="-2"/>
          <w:szCs w:val="21"/>
        </w:rPr>
        <w:t>1</w:t>
      </w:r>
      <w:r>
        <w:rPr>
          <w:rFonts w:cs="Times New Roman" w:asciiTheme="minorEastAsia" w:hAnsiTheme="minorEastAsia"/>
          <w:spacing w:val="-2"/>
          <w:szCs w:val="21"/>
        </w:rPr>
        <w:t>学分。</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w:t>
      </w:r>
      <w:r>
        <w:rPr>
          <w:rFonts w:ascii="Times New Roman" w:hAnsi="Times New Roman" w:eastAsia="宋体" w:cs="Times New Roman"/>
          <w:b/>
          <w:bCs/>
          <w:szCs w:val="21"/>
        </w:rPr>
        <w:t>两助一辅</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w:t>
      </w:r>
      <w:r>
        <w:rPr>
          <w:rFonts w:cs="Times New Roman" w:asciiTheme="minorEastAsia" w:hAnsiTheme="minorEastAsia"/>
          <w:szCs w:val="21"/>
        </w:rPr>
        <w:t>两助一辅</w:t>
      </w:r>
      <w:r>
        <w:rPr>
          <w:rFonts w:hint="eastAsia" w:cs="Times New Roman" w:asciiTheme="minorEastAsia" w:hAnsiTheme="minorEastAsia"/>
          <w:szCs w:val="21"/>
        </w:rPr>
        <w:t>”</w:t>
      </w:r>
      <w:r>
        <w:rPr>
          <w:rFonts w:cs="Times New Roman" w:asciiTheme="minorEastAsia" w:hAnsiTheme="minorEastAsia"/>
          <w:szCs w:val="21"/>
        </w:rPr>
        <w:t>是指研究生担任助教、助管和辅导员工作，其目的是培养研究生的综合能力，是研究生培养过程的有机组成部分。</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全日制博士研究生在培养过程中必须完成至少一个标准岗位的助教、助管或辅导员工作。该环节纳入学分管理，通过后记</w:t>
      </w:r>
      <w:r>
        <w:rPr>
          <w:rFonts w:ascii="Times New Roman" w:hAnsi="Times New Roman" w:cs="Times New Roman"/>
          <w:szCs w:val="21"/>
        </w:rPr>
        <w:t>2</w:t>
      </w:r>
      <w:r>
        <w:rPr>
          <w:rFonts w:cs="Times New Roman" w:asciiTheme="minorEastAsia" w:hAnsiTheme="minorEastAsia"/>
          <w:szCs w:val="21"/>
        </w:rPr>
        <w:t>学分。</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4</w:t>
      </w:r>
      <w:r>
        <w:rPr>
          <w:rFonts w:hint="eastAsia" w:ascii="Times New Roman" w:hAnsi="Times New Roman" w:eastAsia="宋体" w:cs="Times New Roman"/>
          <w:b/>
          <w:bCs/>
          <w:szCs w:val="21"/>
        </w:rPr>
        <w:t>．</w:t>
      </w:r>
      <w:r>
        <w:rPr>
          <w:rFonts w:ascii="Times New Roman" w:hAnsi="Times New Roman" w:eastAsia="宋体" w:cs="Times New Roman"/>
          <w:b/>
          <w:bCs/>
          <w:szCs w:val="21"/>
        </w:rPr>
        <w:t>基金撰写</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kern w:val="0"/>
          <w:szCs w:val="21"/>
        </w:rPr>
      </w:pPr>
      <w:r>
        <w:rPr>
          <w:rFonts w:hint="eastAsia" w:ascii="Times New Roman" w:hAnsi="Times New Roman" w:eastAsia="宋体" w:cs="Times New Roman"/>
          <w:szCs w:val="21"/>
        </w:rPr>
        <w:t>硕博贯通</w:t>
      </w:r>
      <w:r>
        <w:rPr>
          <w:rFonts w:cs="Times New Roman" w:asciiTheme="minorEastAsia" w:hAnsiTheme="minorEastAsia"/>
          <w:szCs w:val="21"/>
        </w:rPr>
        <w:t>研究生在学习期间，须在导师指导下，完成一项国家科研基金申请书的撰写，培养博士生申请科研项目的能力，导师同意通过后，记</w:t>
      </w:r>
      <w:r>
        <w:rPr>
          <w:rFonts w:ascii="Times New Roman" w:hAnsi="Times New Roman" w:cs="Times New Roman"/>
          <w:szCs w:val="21"/>
        </w:rPr>
        <w:t>1</w:t>
      </w:r>
      <w:r>
        <w:rPr>
          <w:rFonts w:cs="Times New Roman" w:asciiTheme="minorEastAsia" w:hAnsiTheme="minorEastAsia"/>
          <w:szCs w:val="21"/>
        </w:rPr>
        <w:t>学分。</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5</w:t>
      </w:r>
      <w:r>
        <w:rPr>
          <w:rFonts w:hint="eastAsia" w:ascii="Times New Roman" w:hAnsi="Times New Roman" w:eastAsia="宋体" w:cs="Times New Roman"/>
          <w:b/>
          <w:bCs/>
          <w:szCs w:val="21"/>
        </w:rPr>
        <w:t>．</w:t>
      </w:r>
      <w:r>
        <w:rPr>
          <w:rFonts w:ascii="Times New Roman" w:hAnsi="Times New Roman" w:eastAsia="宋体" w:cs="Times New Roman"/>
          <w:b/>
          <w:bCs/>
          <w:szCs w:val="21"/>
        </w:rPr>
        <w:t>国际化交流</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kern w:val="0"/>
          <w:szCs w:val="21"/>
        </w:rPr>
        <w:t>立足于培养</w:t>
      </w:r>
      <w:r>
        <w:rPr>
          <w:rFonts w:hint="eastAsia" w:ascii="Times New Roman" w:hAnsi="Times New Roman" w:eastAsia="宋体" w:cs="Times New Roman"/>
          <w:szCs w:val="21"/>
        </w:rPr>
        <w:t>硕博贯通</w:t>
      </w:r>
      <w:r>
        <w:rPr>
          <w:rFonts w:cs="Times New Roman" w:asciiTheme="minorEastAsia" w:hAnsiTheme="minorEastAsia"/>
          <w:kern w:val="0"/>
          <w:szCs w:val="21"/>
        </w:rPr>
        <w:t>研究生的全球化视野，</w:t>
      </w:r>
      <w:r>
        <w:rPr>
          <w:rFonts w:cs="Times New Roman" w:asciiTheme="minorEastAsia" w:hAnsiTheme="minorEastAsia"/>
          <w:szCs w:val="21"/>
        </w:rPr>
        <w:t>研究生在校期间，达到以下条件之一记1学分：</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1</w:t>
      </w:r>
      <w:r>
        <w:rPr>
          <w:rFonts w:cs="Times New Roman" w:asciiTheme="minorEastAsia" w:hAnsiTheme="minorEastAsia"/>
          <w:szCs w:val="21"/>
        </w:rPr>
        <w:t>）</w:t>
      </w:r>
      <w:r>
        <w:rPr>
          <w:rFonts w:hint="eastAsia" w:ascii="Times New Roman" w:hAnsi="Times New Roman" w:cs="Times New Roman"/>
          <w:szCs w:val="21"/>
        </w:rPr>
        <w:t>CSC</w:t>
      </w:r>
      <w:r>
        <w:rPr>
          <w:rFonts w:hint="eastAsia" w:cs="Times New Roman" w:asciiTheme="minorEastAsia" w:hAnsiTheme="minorEastAsia"/>
          <w:szCs w:val="21"/>
        </w:rPr>
        <w:t>项目；</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2</w:t>
      </w:r>
      <w:r>
        <w:rPr>
          <w:rFonts w:cs="Times New Roman" w:asciiTheme="minorEastAsia" w:hAnsiTheme="minorEastAsia"/>
          <w:szCs w:val="21"/>
        </w:rPr>
        <w:t>）</w:t>
      </w:r>
      <w:r>
        <w:rPr>
          <w:rFonts w:hint="eastAsia" w:cs="Times New Roman" w:asciiTheme="minorEastAsia" w:hAnsiTheme="minorEastAsia"/>
          <w:szCs w:val="21"/>
        </w:rPr>
        <w:t>与国（境）外</w:t>
      </w:r>
      <w:r>
        <w:rPr>
          <w:rFonts w:cs="Times New Roman" w:asciiTheme="minorEastAsia" w:hAnsiTheme="minorEastAsia"/>
          <w:szCs w:val="21"/>
        </w:rPr>
        <w:t>联合培养；</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3</w:t>
      </w:r>
      <w:r>
        <w:rPr>
          <w:rFonts w:cs="Times New Roman" w:asciiTheme="minorEastAsia" w:hAnsiTheme="minorEastAsia"/>
          <w:szCs w:val="21"/>
        </w:rPr>
        <w:t>）</w:t>
      </w:r>
      <w:r>
        <w:rPr>
          <w:rFonts w:hint="eastAsia" w:cs="Times New Roman" w:asciiTheme="minorEastAsia" w:hAnsiTheme="minorEastAsia"/>
          <w:szCs w:val="21"/>
        </w:rPr>
        <w:t>国（境）外</w:t>
      </w:r>
      <w:r>
        <w:rPr>
          <w:rFonts w:cs="Times New Roman" w:asciiTheme="minorEastAsia" w:hAnsiTheme="minorEastAsia"/>
          <w:szCs w:val="21"/>
        </w:rPr>
        <w:t>短期出</w:t>
      </w:r>
      <w:r>
        <w:rPr>
          <w:rFonts w:hint="eastAsia" w:cs="Times New Roman" w:asciiTheme="minorEastAsia" w:hAnsiTheme="minorEastAsia"/>
          <w:szCs w:val="21"/>
        </w:rPr>
        <w:t>访、国际组织实习（三个月以上）；</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4</w:t>
      </w:r>
      <w:r>
        <w:rPr>
          <w:rFonts w:cs="Times New Roman" w:asciiTheme="minorEastAsia" w:hAnsiTheme="minorEastAsia"/>
          <w:szCs w:val="21"/>
        </w:rPr>
        <w:t>）国内外举办的</w:t>
      </w:r>
      <w:r>
        <w:rPr>
          <w:rFonts w:hint="eastAsia" w:cs="Times New Roman" w:asciiTheme="minorEastAsia" w:hAnsiTheme="minorEastAsia"/>
          <w:szCs w:val="21"/>
        </w:rPr>
        <w:t>高水平</w:t>
      </w:r>
      <w:r>
        <w:rPr>
          <w:rFonts w:cs="Times New Roman" w:asciiTheme="minorEastAsia" w:hAnsiTheme="minorEastAsia"/>
          <w:szCs w:val="21"/>
        </w:rPr>
        <w:t>国际</w:t>
      </w:r>
      <w:r>
        <w:rPr>
          <w:rFonts w:hint="eastAsia" w:cs="Times New Roman" w:asciiTheme="minorEastAsia" w:hAnsiTheme="minorEastAsia"/>
          <w:szCs w:val="21"/>
        </w:rPr>
        <w:t>学术</w:t>
      </w:r>
      <w:r>
        <w:rPr>
          <w:rFonts w:cs="Times New Roman" w:asciiTheme="minorEastAsia" w:hAnsiTheme="minorEastAsia"/>
          <w:szCs w:val="21"/>
        </w:rPr>
        <w:t>会议（参加、投稿被书面收录、壁报、小组发言、大会发言，均被认可，但需提供详细的书面证明邀请信、参会照片、收录节选、壁报展示及照片、小组发言或大会发言照片等）；</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5</w:t>
      </w:r>
      <w:r>
        <w:rPr>
          <w:rFonts w:ascii="Times New Roman" w:hAnsi="Times New Roman" w:cs="Times New Roman"/>
          <w:szCs w:val="21"/>
        </w:rPr>
        <w:t>）</w:t>
      </w:r>
      <w:r>
        <w:rPr>
          <w:rFonts w:hint="eastAsia" w:cs="Times New Roman" w:asciiTheme="minorEastAsia" w:hAnsiTheme="minorEastAsia"/>
          <w:szCs w:val="21"/>
        </w:rPr>
        <w:t>选修国外高校全英文在线课程（</w:t>
      </w:r>
      <w:r>
        <w:rPr>
          <w:rFonts w:hint="eastAsia" w:ascii="Times New Roman" w:hAnsi="Times New Roman" w:cs="Times New Roman"/>
          <w:szCs w:val="21"/>
        </w:rPr>
        <w:t>MOOC</w:t>
      </w:r>
      <w:r>
        <w:rPr>
          <w:rFonts w:hint="eastAsia" w:cs="Times New Roman" w:asciiTheme="minorEastAsia" w:hAnsiTheme="minorEastAsia"/>
          <w:szCs w:val="21"/>
        </w:rPr>
        <w:t>），并取得合格证书；</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6</w:t>
      </w:r>
      <w:r>
        <w:rPr>
          <w:rFonts w:cs="Times New Roman" w:asciiTheme="minorEastAsia" w:hAnsiTheme="minorEastAsia"/>
          <w:szCs w:val="21"/>
        </w:rPr>
        <w:t>）</w:t>
      </w:r>
      <w:r>
        <w:rPr>
          <w:rFonts w:hint="eastAsia" w:cs="Times New Roman" w:asciiTheme="minorEastAsia" w:hAnsiTheme="minorEastAsia"/>
          <w:szCs w:val="21"/>
        </w:rPr>
        <w:t>参加国际专业竞赛并获奖。</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6．文献</w:t>
      </w:r>
      <w:r>
        <w:rPr>
          <w:rFonts w:ascii="Times New Roman" w:hAnsi="Times New Roman" w:eastAsia="宋体" w:cs="Times New Roman"/>
          <w:b/>
          <w:bCs/>
          <w:szCs w:val="21"/>
        </w:rPr>
        <w:t>阅读</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博士研究生</w:t>
      </w:r>
      <w:r>
        <w:rPr>
          <w:rFonts w:ascii="Times New Roman" w:hAnsi="Times New Roman" w:eastAsia="宋体" w:cs="Times New Roman"/>
          <w:szCs w:val="21"/>
        </w:rPr>
        <w:t>在第</w:t>
      </w:r>
      <w:r>
        <w:rPr>
          <w:rFonts w:hint="eastAsia" w:ascii="Times New Roman" w:hAnsi="Times New Roman" w:eastAsia="宋体" w:cs="Times New Roman"/>
          <w:szCs w:val="21"/>
        </w:rPr>
        <w:t>三</w:t>
      </w:r>
      <w:r>
        <w:rPr>
          <w:rFonts w:ascii="Times New Roman" w:hAnsi="Times New Roman" w:eastAsia="宋体" w:cs="Times New Roman"/>
          <w:szCs w:val="21"/>
        </w:rPr>
        <w:t>学</w:t>
      </w:r>
      <w:r>
        <w:rPr>
          <w:rFonts w:hint="eastAsia" w:ascii="Times New Roman" w:hAnsi="Times New Roman" w:eastAsia="宋体" w:cs="Times New Roman"/>
          <w:szCs w:val="21"/>
        </w:rPr>
        <w:t>期</w:t>
      </w:r>
      <w:r>
        <w:rPr>
          <w:rFonts w:ascii="Times New Roman" w:hAnsi="Times New Roman" w:eastAsia="宋体" w:cs="Times New Roman"/>
          <w:szCs w:val="21"/>
        </w:rPr>
        <w:t>完成</w:t>
      </w:r>
      <w:r>
        <w:rPr>
          <w:rFonts w:hint="eastAsia" w:ascii="Times New Roman" w:hAnsi="Times New Roman" w:eastAsia="宋体" w:cs="Times New Roman"/>
          <w:szCs w:val="21"/>
        </w:rPr>
        <w:t>文献阅读</w:t>
      </w:r>
      <w:r>
        <w:rPr>
          <w:rFonts w:ascii="Times New Roman" w:hAnsi="Times New Roman" w:eastAsia="宋体" w:cs="Times New Roman"/>
          <w:szCs w:val="21"/>
        </w:rPr>
        <w:t>考核</w:t>
      </w:r>
      <w:r>
        <w:rPr>
          <w:rFonts w:hint="eastAsia" w:ascii="Times New Roman" w:hAnsi="Times New Roman" w:eastAsia="宋体" w:cs="Times New Roman"/>
          <w:szCs w:val="21"/>
        </w:rPr>
        <w:t>。</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文献阅读是引领研究生特别是博士生夯实学术根基、迅速进入学科专业研究领域和培养研究生科研素养的重要手段，是课程知识扩展和补充的重要方式。学生入学后</w:t>
      </w:r>
      <w:r>
        <w:rPr>
          <w:rFonts w:ascii="Times New Roman" w:hAnsi="Times New Roman" w:eastAsia="宋体" w:cs="Times New Roman"/>
          <w:szCs w:val="21"/>
        </w:rPr>
        <w:t>结合学科发展和论文研究方向，在导师指导下阅读国内外文献资料。</w:t>
      </w:r>
      <w:r>
        <w:rPr>
          <w:rFonts w:hint="eastAsia" w:ascii="Times New Roman" w:hAnsi="Times New Roman" w:eastAsia="宋体" w:cs="Times New Roman"/>
          <w:szCs w:val="21"/>
        </w:rPr>
        <w:t>考核形式采用提交文献综述形式（要求字数不少于</w:t>
      </w:r>
      <w:r>
        <w:rPr>
          <w:rFonts w:ascii="Times New Roman" w:hAnsi="Times New Roman" w:eastAsia="宋体" w:cs="Times New Roman"/>
          <w:szCs w:val="21"/>
        </w:rPr>
        <w:t>5000</w:t>
      </w:r>
      <w:r>
        <w:rPr>
          <w:rFonts w:hint="eastAsia" w:ascii="Times New Roman" w:hAnsi="Times New Roman" w:eastAsia="宋体" w:cs="Times New Roman"/>
          <w:szCs w:val="21"/>
        </w:rPr>
        <w:t>字，参考文献应包含中文文献和外文文献，综述文献不少于</w:t>
      </w:r>
      <w:r>
        <w:rPr>
          <w:rFonts w:ascii="Times New Roman" w:hAnsi="Times New Roman" w:eastAsia="宋体" w:cs="Times New Roman"/>
          <w:szCs w:val="21"/>
        </w:rPr>
        <w:t>60</w:t>
      </w:r>
      <w:r>
        <w:rPr>
          <w:rFonts w:hint="eastAsia" w:ascii="Times New Roman" w:hAnsi="Times New Roman" w:eastAsia="宋体" w:cs="Times New Roman"/>
          <w:szCs w:val="21"/>
        </w:rPr>
        <w:t>篇），导师签字确认后提交，学院组织评审专家对综述报告的选题、格式、内容以及书面表达能力等进行评审，审核通过者，记</w:t>
      </w:r>
      <w:r>
        <w:rPr>
          <w:rFonts w:ascii="Times New Roman" w:hAnsi="Times New Roman" w:eastAsia="宋体" w:cs="Times New Roman"/>
          <w:szCs w:val="21"/>
        </w:rPr>
        <w:t>2</w:t>
      </w:r>
      <w:r>
        <w:rPr>
          <w:rFonts w:hint="eastAsia" w:ascii="Times New Roman" w:hAnsi="Times New Roman" w:eastAsia="宋体" w:cs="Times New Roman"/>
          <w:szCs w:val="21"/>
        </w:rPr>
        <w:t>学分。审核未通过者，按照专家审核意见完成修改后提交学院进行二次评审。经两次审核都未通过者，不记入学分。考核工作由医学部各学院统一安排。</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文献阅读考核需在博士生中期考核前完成考核。</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7</w:t>
      </w:r>
      <w:r>
        <w:rPr>
          <w:rFonts w:hint="eastAsia" w:ascii="Times New Roman" w:hAnsi="Times New Roman" w:eastAsia="宋体" w:cs="Times New Roman"/>
          <w:b/>
          <w:bCs/>
          <w:szCs w:val="21"/>
        </w:rPr>
        <w:t>．</w:t>
      </w:r>
      <w:r>
        <w:rPr>
          <w:rFonts w:ascii="Times New Roman" w:hAnsi="Times New Roman" w:eastAsia="宋体" w:cs="Times New Roman"/>
          <w:b/>
          <w:bCs/>
          <w:szCs w:val="21"/>
        </w:rPr>
        <w:t>开题报告</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硕博连读生，硕士阶段第二学年内完成博士资格考核，在进入博士阶段第一学年内完成开题报告；直博生，在第二学年内完成开题报告。</w:t>
      </w:r>
      <w:r>
        <w:rPr>
          <w:rFonts w:hint="eastAsia" w:cs="Times New Roman" w:asciiTheme="minorEastAsia" w:hAnsiTheme="minorEastAsia"/>
          <w:szCs w:val="21"/>
        </w:rPr>
        <w:t>具体时间由导师或院系决定，并上报学院（系）教学管理部门备案。从开题报告通过至申请论文答辩的时间一般不少于一年。开题报告由医学部各学院（系）组织，应以学术活动的形式在学院（系）内公开进行，并邀请相关教师和研究生参加。各学院（系）邀请本学院督导列席旁听并打分。开题报告评审专家小组由3-5名校内外博士生导师组成（导师及导师团队成员为主体）。考查内容包括：文献综述、选题意义与科学依据、研究基础、研究内容与计划、工作难点及特色、预期成果以及可能产生的创新点、论文选题与学科的匹配度等。经评审通过的开题报告，须以书面形式交医学部人才培养处审核备案。</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8</w:t>
      </w:r>
      <w:r>
        <w:rPr>
          <w:rFonts w:hint="eastAsia" w:ascii="Times New Roman" w:hAnsi="Times New Roman" w:eastAsia="宋体" w:cs="Times New Roman"/>
          <w:b/>
          <w:bCs/>
          <w:szCs w:val="21"/>
        </w:rPr>
        <w:t>．</w:t>
      </w:r>
      <w:r>
        <w:rPr>
          <w:rFonts w:ascii="Times New Roman" w:hAnsi="Times New Roman" w:eastAsia="宋体" w:cs="Times New Roman"/>
          <w:b/>
          <w:bCs/>
          <w:szCs w:val="21"/>
        </w:rPr>
        <w:t>中期考核</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中期考核一般安排在第四学期（贯通培养研究生转为博士生培养后可在第三学期，以直攻博方式进入贯通式培养体系的学生，自第三学年起至第四学年末完成中期考核）进行。中期考核由院系组织，应以学术活动的形式公开进行，考核小组由5-7名本学科或相关学科博士生导师组成。中期考核内容包括：学科基础综合考试（含学科基础文献集阅读）、业务表现与论文工作进展、论文选题与学科的匹配度、综合能力等方面。研究生提交由导师签字的课程成绩、课题研究进展报告等书面材料后，方可参加中期考核。中期考核所有评审材料，须在医学部人才培养处审核备案。</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博士研究生应按时参加中期考核，如有特殊情况需延期参加，须本人申请并获得批准后参加补考核，具体时间由医学部人才培养处确定。</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中期考核具体要求参照《西安交通大学关于博士研究生中期考核的若干规定》（西交研〔2014〕25号）执行。</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研究生的开题报告和中期报告中应包含实验安全风险评估的内容。</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9</w:t>
      </w:r>
      <w:r>
        <w:rPr>
          <w:rFonts w:hint="eastAsia" w:ascii="Times New Roman" w:hAnsi="Times New Roman" w:eastAsia="宋体" w:cs="Times New Roman"/>
          <w:b/>
          <w:bCs/>
          <w:szCs w:val="21"/>
        </w:rPr>
        <w:t>．</w:t>
      </w:r>
      <w:r>
        <w:rPr>
          <w:rFonts w:ascii="Times New Roman" w:hAnsi="Times New Roman" w:eastAsia="宋体" w:cs="Times New Roman"/>
          <w:b/>
          <w:bCs/>
          <w:szCs w:val="21"/>
        </w:rPr>
        <w:t>最终学术报告（预答辩）</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硕博贯通研究生完成学位论文后，须在医学部或医学部各院（系）范围内进行公开预答辩，报告自己的研究成果。预答辩专家组由5名本学科或相关学科专家组成，其中至少3人为博士生导师。各学院（系）邀请本学院督导或相关学科专家列席旁听。在预答辩中，须严格审查论文选题的前沿性、理论及现实意义，学位论文是否有独立见解，学位论文的工作量，研究工作的系统性、完整性，论文选题与学科的匹配度等。</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对预答辩中提出的问题，研究生应认真修改与补充，填写修改说明表，经导师签字同意并报预答辩专家组组长签字同意后，方可进入论文评阅、答辩环节。对于未获得通过的学位论文，博士研究生应修改后重新进行预答辩。</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对于未获得通过和</w:t>
      </w:r>
      <w:r>
        <w:rPr>
          <w:rFonts w:cs="Times New Roman" w:asciiTheme="minorEastAsia" w:hAnsiTheme="minorEastAsia"/>
          <w:szCs w:val="21"/>
        </w:rPr>
        <w:t>问题较多的学位论文要经过研究生修改后重新组织预答辩。</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预答辩具体参照《西安交通大学学位授予工作暂行办法》（西交研〔2003〕14号）执行。</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cs="Times New Roman" w:asciiTheme="minorEastAsia" w:hAnsiTheme="minorEastAsia"/>
          <w:b/>
          <w:bCs/>
          <w:szCs w:val="21"/>
        </w:rPr>
      </w:pPr>
      <w:r>
        <w:rPr>
          <w:rFonts w:cs="Times New Roman" w:asciiTheme="minorEastAsia" w:hAnsiTheme="minorEastAsia"/>
          <w:b/>
          <w:bCs/>
          <w:szCs w:val="21"/>
        </w:rPr>
        <w:t>10.体育、美育、劳动教育</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研究生依据当年的体育、美育、劳动教育研修指南，结合个人兴趣爱好和培养计划安排，制定个人体育、美育、劳动教育环节研修计划并开展研修，由体育、美育、劳动教育牵头单位对环节是否“通过”给予认定。</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11</w:t>
      </w:r>
      <w:r>
        <w:rPr>
          <w:rFonts w:hint="eastAsia" w:ascii="Times New Roman" w:hAnsi="Times New Roman" w:eastAsia="宋体" w:cs="Times New Roman"/>
          <w:b/>
          <w:bCs/>
          <w:szCs w:val="21"/>
        </w:rPr>
        <w:t>．</w:t>
      </w:r>
      <w:r>
        <w:rPr>
          <w:rFonts w:ascii="Times New Roman" w:hAnsi="Times New Roman" w:eastAsia="宋体" w:cs="Times New Roman"/>
          <w:b/>
          <w:bCs/>
          <w:szCs w:val="21"/>
        </w:rPr>
        <w:t>学术论文</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硕博贯通研究生</w:t>
      </w:r>
      <w:r>
        <w:rPr>
          <w:rFonts w:cs="Times New Roman" w:asciiTheme="minorEastAsia" w:hAnsiTheme="minorEastAsia"/>
          <w:szCs w:val="21"/>
        </w:rPr>
        <w:t>应在导师的指导下，根据研究方向确定研究课题，课题需结合国民经济发展需求和学科发展趋势，具有前瞻性和理论价值，达到本学科前沿，博士研究生应独立完成具有一定学术水平和价值的学位论文。论文答辩</w:t>
      </w:r>
      <w:r>
        <w:rPr>
          <w:rFonts w:hint="eastAsia" w:cs="Times New Roman" w:asciiTheme="minorEastAsia" w:hAnsiTheme="minorEastAsia"/>
          <w:szCs w:val="21"/>
        </w:rPr>
        <w:t>具体参照</w:t>
      </w:r>
      <w:r>
        <w:rPr>
          <w:rFonts w:cs="Times New Roman" w:asciiTheme="minorEastAsia" w:hAnsiTheme="minorEastAsia"/>
          <w:szCs w:val="21"/>
        </w:rPr>
        <w:t>《西安交通大学学位授予工作暂行办法》（西交研〔2003〕14号）执行。</w:t>
      </w:r>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r>
        <w:rPr>
          <w:rFonts w:hint="eastAsia" w:ascii="黑体" w:hAnsi="黑体" w:eastAsia="黑体"/>
          <w:sz w:val="24"/>
          <w:szCs w:val="24"/>
        </w:rPr>
        <w:t>七</w:t>
      </w:r>
      <w:r>
        <w:rPr>
          <w:rFonts w:ascii="黑体" w:hAnsi="黑体" w:eastAsia="黑体"/>
          <w:sz w:val="24"/>
          <w:szCs w:val="24"/>
        </w:rPr>
        <w:t>、分流机制</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bCs/>
          <w:szCs w:val="21"/>
        </w:rPr>
      </w:pPr>
      <w:r>
        <w:rPr>
          <w:rFonts w:cs="Times New Roman" w:asciiTheme="minorEastAsia" w:hAnsiTheme="minorEastAsia"/>
          <w:bCs/>
          <w:szCs w:val="21"/>
        </w:rPr>
        <w:t>硕博连读生未通过博士资格考核或审核的，按硕士研究生进行培养，最长年限为三学年；直博生未通过博士中期考核或因其他原因需停止按博士培养而转回硕士培养的，需在半年之内完成硕士培养要求，申请硕士毕业和学位。</w:t>
      </w:r>
    </w:p>
    <w:p>
      <w:pPr>
        <w:keepNext w:val="0"/>
        <w:keepLines w:val="0"/>
        <w:pageBreakBefore w:val="0"/>
        <w:widowControl w:val="0"/>
        <w:kinsoku/>
        <w:wordWrap/>
        <w:overflowPunct/>
        <w:topLinePunct w:val="0"/>
        <w:autoSpaceDE/>
        <w:autoSpaceDN/>
        <w:bidi w:val="0"/>
        <w:spacing w:before="120" w:beforeLines="50" w:after="120" w:afterLines="50" w:line="300" w:lineRule="auto"/>
        <w:ind w:firstLine="420" w:firstLineChars="200"/>
        <w:textAlignment w:val="auto"/>
        <w:rPr>
          <w:rFonts w:cs="Times New Roman" w:asciiTheme="minorEastAsia" w:hAnsiTheme="minorEastAsia"/>
          <w:szCs w:val="21"/>
        </w:rPr>
      </w:pPr>
      <w:r>
        <w:rPr>
          <w:rFonts w:cs="Times New Roman" w:asciiTheme="minorEastAsia" w:hAnsiTheme="minorEastAsia"/>
          <w:bCs/>
          <w:szCs w:val="21"/>
        </w:rPr>
        <w:t>硕博贯通研究生申请硕士学位的</w:t>
      </w:r>
      <w:r>
        <w:rPr>
          <w:rFonts w:hint="eastAsia" w:cs="Times New Roman" w:asciiTheme="minorEastAsia" w:hAnsiTheme="minorEastAsia"/>
          <w:bCs/>
          <w:szCs w:val="21"/>
        </w:rPr>
        <w:t>需修满29学分</w:t>
      </w:r>
      <w:r>
        <w:rPr>
          <w:rFonts w:cs="Times New Roman" w:asciiTheme="minorEastAsia" w:hAnsiTheme="minorEastAsia"/>
          <w:bCs/>
          <w:szCs w:val="21"/>
        </w:rPr>
        <w:t>。</w:t>
      </w:r>
      <w:r>
        <w:rPr>
          <w:rFonts w:hint="eastAsia" w:cs="Times New Roman" w:asciiTheme="minorEastAsia" w:hAnsiTheme="minorEastAsia"/>
          <w:bCs/>
          <w:szCs w:val="21"/>
        </w:rPr>
        <w:t>其中课程学习23学分</w:t>
      </w:r>
      <w:r>
        <w:rPr>
          <w:rFonts w:cs="Times New Roman" w:asciiTheme="minorEastAsia" w:hAnsiTheme="minorEastAsia"/>
          <w:bCs/>
          <w:szCs w:val="21"/>
        </w:rPr>
        <w:t>、必修环节</w:t>
      </w:r>
      <w:r>
        <w:rPr>
          <w:rFonts w:hint="eastAsia" w:cs="Times New Roman" w:asciiTheme="minorEastAsia" w:hAnsiTheme="minorEastAsia"/>
          <w:bCs/>
          <w:szCs w:val="21"/>
        </w:rPr>
        <w:t>6学分。</w:t>
      </w:r>
    </w:p>
    <w:p>
      <w:pPr>
        <w:spacing w:before="360" w:after="360" w:line="286" w:lineRule="auto"/>
        <w:jc w:val="center"/>
        <w:rPr>
          <w:rFonts w:ascii="楷体_GB2312" w:hAnsi="Times New Roman" w:eastAsia="楷体_GB2312" w:cs="Times New Roman"/>
          <w:b/>
          <w:bCs/>
          <w:sz w:val="28"/>
          <w:szCs w:val="28"/>
        </w:rPr>
      </w:pPr>
      <w:r>
        <w:rPr>
          <w:rFonts w:hint="eastAsia" w:ascii="楷体_GB2312" w:hAnsi="Times New Roman" w:eastAsia="楷体_GB2312" w:cs="Times New Roman"/>
          <w:b/>
          <w:bCs/>
          <w:sz w:val="28"/>
          <w:szCs w:val="28"/>
        </w:rPr>
        <w:t>★护理</w:t>
      </w:r>
      <w:r>
        <w:rPr>
          <w:rFonts w:ascii="楷体_GB2312" w:hAnsi="Times New Roman" w:eastAsia="楷体_GB2312" w:cs="Times New Roman"/>
          <w:b/>
          <w:bCs/>
          <w:sz w:val="28"/>
          <w:szCs w:val="28"/>
        </w:rPr>
        <w:t>学（10</w:t>
      </w:r>
      <w:r>
        <w:rPr>
          <w:rFonts w:hint="eastAsia" w:ascii="楷体_GB2312" w:hAnsi="Times New Roman" w:eastAsia="楷体_GB2312" w:cs="Times New Roman"/>
          <w:b/>
          <w:bCs/>
          <w:sz w:val="28"/>
          <w:szCs w:val="28"/>
        </w:rPr>
        <w:t>11</w:t>
      </w:r>
      <w:r>
        <w:rPr>
          <w:rFonts w:ascii="楷体_GB2312" w:hAnsi="Times New Roman" w:eastAsia="楷体_GB2312" w:cs="Times New Roman"/>
          <w:b/>
          <w:bCs/>
          <w:sz w:val="28"/>
          <w:szCs w:val="28"/>
        </w:rPr>
        <w:t>）硕士博士贯通式</w:t>
      </w:r>
      <w:r>
        <w:rPr>
          <w:rFonts w:hint="eastAsia" w:ascii="楷体_GB2312" w:hAnsi="Times New Roman" w:eastAsia="楷体_GB2312" w:cs="Times New Roman"/>
          <w:b/>
          <w:bCs/>
          <w:sz w:val="28"/>
          <w:szCs w:val="28"/>
        </w:rPr>
        <w:t>研究生</w:t>
      </w:r>
      <w:r>
        <w:rPr>
          <w:rFonts w:ascii="楷体_GB2312" w:hAnsi="Times New Roman" w:eastAsia="楷体_GB2312" w:cs="Times New Roman"/>
          <w:b/>
          <w:bCs/>
          <w:sz w:val="28"/>
          <w:szCs w:val="28"/>
        </w:rPr>
        <w:t>培养方案</w:t>
      </w:r>
      <w:bookmarkEnd w:id="504"/>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bookmarkStart w:id="505" w:name="_Toc520822689"/>
      <w:bookmarkStart w:id="506" w:name="_Toc519846469"/>
      <w:r>
        <w:rPr>
          <w:rFonts w:hint="eastAsia" w:ascii="黑体" w:hAnsi="黑体" w:eastAsia="黑体"/>
          <w:sz w:val="24"/>
          <w:szCs w:val="24"/>
        </w:rPr>
        <w:t>一、</w:t>
      </w:r>
      <w:r>
        <w:rPr>
          <w:rFonts w:ascii="黑体" w:hAnsi="黑体" w:eastAsia="黑体"/>
          <w:sz w:val="24"/>
          <w:szCs w:val="24"/>
        </w:rPr>
        <w:t>培养目标</w:t>
      </w:r>
      <w:bookmarkEnd w:id="505"/>
      <w:bookmarkEnd w:id="506"/>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秉承“扎根西部、服务国家、区域引领、世界一流”的办学定位，护理学硕博贯通式研究生培养目标为：以科研创新能力培养为主，坚持德智体美劳全面发展，培养造就具有强烈社会责任感的护理学研究领域德才兼备的高层次创新型人才。</w:t>
      </w:r>
      <w:r>
        <w:rPr>
          <w:rFonts w:cs="Times New Roman" w:asciiTheme="minorEastAsia" w:hAnsiTheme="minorEastAsia"/>
          <w:szCs w:val="21"/>
        </w:rPr>
        <w:t>具体要求是：</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1．</w:t>
      </w:r>
      <w:r>
        <w:rPr>
          <w:rFonts w:hint="eastAsia" w:cs="Times New Roman" w:asciiTheme="minorEastAsia" w:hAnsiTheme="minorEastAsia"/>
          <w:szCs w:val="21"/>
        </w:rPr>
        <w:t>掌握马克思主义基本原理，学习和贯彻习近平新时代中国特色社会主义思想和系列重要讲话精神，坚定道路自信、理论自信、制度自信、文化自信。热爱祖国，</w:t>
      </w:r>
      <w:r>
        <w:rPr>
          <w:rFonts w:cs="Times New Roman" w:asciiTheme="minorEastAsia" w:hAnsiTheme="minorEastAsia"/>
          <w:szCs w:val="21"/>
        </w:rPr>
        <w:t>遵纪守法</w:t>
      </w:r>
      <w:r>
        <w:rPr>
          <w:rFonts w:hint="eastAsia" w:cs="Times New Roman" w:asciiTheme="minorEastAsia" w:hAnsiTheme="minorEastAsia"/>
          <w:szCs w:val="21"/>
        </w:rPr>
        <w:t>，</w:t>
      </w:r>
      <w:r>
        <w:rPr>
          <w:rFonts w:cs="Times New Roman" w:asciiTheme="minorEastAsia" w:hAnsiTheme="minorEastAsia"/>
          <w:szCs w:val="21"/>
        </w:rPr>
        <w:t>品德</w:t>
      </w:r>
      <w:r>
        <w:rPr>
          <w:rFonts w:hint="eastAsia" w:cs="Times New Roman" w:asciiTheme="minorEastAsia" w:hAnsiTheme="minorEastAsia"/>
          <w:szCs w:val="21"/>
        </w:rPr>
        <w:t>优</w:t>
      </w:r>
      <w:r>
        <w:rPr>
          <w:rFonts w:cs="Times New Roman" w:asciiTheme="minorEastAsia" w:hAnsiTheme="minorEastAsia"/>
          <w:szCs w:val="21"/>
        </w:rPr>
        <w:t>良，治学严谨，</w:t>
      </w:r>
      <w:r>
        <w:rPr>
          <w:rFonts w:hint="eastAsia" w:cs="Times New Roman" w:asciiTheme="minorEastAsia" w:hAnsiTheme="minorEastAsia"/>
          <w:szCs w:val="21"/>
        </w:rPr>
        <w:t>学风端正，</w:t>
      </w:r>
      <w:r>
        <w:rPr>
          <w:rFonts w:cs="Times New Roman" w:asciiTheme="minorEastAsia" w:hAnsiTheme="minorEastAsia"/>
          <w:szCs w:val="21"/>
        </w:rPr>
        <w:t>有献身于</w:t>
      </w:r>
      <w:r>
        <w:rPr>
          <w:rFonts w:hint="eastAsia" w:cs="Times New Roman" w:asciiTheme="minorEastAsia" w:hAnsiTheme="minorEastAsia"/>
          <w:szCs w:val="21"/>
        </w:rPr>
        <w:t>护理学</w:t>
      </w:r>
      <w:r>
        <w:rPr>
          <w:rFonts w:cs="Times New Roman" w:asciiTheme="minorEastAsia" w:hAnsiTheme="minorEastAsia"/>
          <w:szCs w:val="21"/>
        </w:rPr>
        <w:t>科学研究的强烈事业心和创新精神</w:t>
      </w:r>
      <w:r>
        <w:rPr>
          <w:rFonts w:hint="eastAsia" w:cs="Times New Roman" w:asciiTheme="minorEastAsia" w:hAnsiTheme="minorEastAsia"/>
          <w:szCs w:val="21"/>
        </w:rPr>
        <w:t>。</w:t>
      </w:r>
      <w:r>
        <w:rPr>
          <w:rFonts w:cs="Times New Roman" w:asciiTheme="minorEastAsia" w:hAnsiTheme="minorEastAsia"/>
          <w:szCs w:val="21"/>
        </w:rPr>
        <w:t>具有健康的体魄和良好的心理素质</w:t>
      </w:r>
      <w:r>
        <w:rPr>
          <w:rFonts w:hint="eastAsia" w:cs="Times New Roman" w:asciiTheme="minorEastAsia" w:hAnsiTheme="minorEastAsia"/>
          <w:szCs w:val="21"/>
        </w:rPr>
        <w:t>，愿积极为祖国护理学事业发展贡献自己的才智</w:t>
      </w:r>
      <w:r>
        <w:rPr>
          <w:rFonts w:cs="Times New Roman" w:asciiTheme="minorEastAsia" w:hAnsiTheme="minorEastAsia"/>
          <w:szCs w:val="21"/>
        </w:rPr>
        <w:t>。</w:t>
      </w:r>
    </w:p>
    <w:p>
      <w:pPr>
        <w:keepNext w:val="0"/>
        <w:keepLines w:val="0"/>
        <w:pageBreakBefore w:val="0"/>
        <w:widowControl w:val="0"/>
        <w:kinsoku/>
        <w:wordWrap/>
        <w:overflowPunct/>
        <w:topLinePunct w:val="0"/>
        <w:autoSpaceDE/>
        <w:autoSpaceDN/>
        <w:bidi w:val="0"/>
        <w:spacing w:line="300" w:lineRule="auto"/>
        <w:ind w:firstLine="435"/>
        <w:textAlignment w:val="auto"/>
        <w:rPr>
          <w:rFonts w:cs="Times New Roman" w:asciiTheme="minorEastAsia" w:hAnsiTheme="minorEastAsia"/>
          <w:szCs w:val="21"/>
        </w:rPr>
      </w:pPr>
      <w:r>
        <w:rPr>
          <w:rFonts w:cs="Times New Roman" w:asciiTheme="minorEastAsia" w:hAnsiTheme="minorEastAsia"/>
          <w:szCs w:val="21"/>
        </w:rPr>
        <w:t>2．具有扎实的基础理论，掌握</w:t>
      </w:r>
      <w:r>
        <w:rPr>
          <w:rFonts w:hint="eastAsia" w:cs="Times New Roman" w:asciiTheme="minorEastAsia" w:hAnsiTheme="minorEastAsia"/>
          <w:szCs w:val="21"/>
        </w:rPr>
        <w:t>本学科的</w:t>
      </w:r>
      <w:r>
        <w:rPr>
          <w:rFonts w:cs="Times New Roman" w:asciiTheme="minorEastAsia" w:hAnsiTheme="minorEastAsia"/>
          <w:szCs w:val="21"/>
        </w:rPr>
        <w:t>专业</w:t>
      </w:r>
      <w:r>
        <w:rPr>
          <w:rFonts w:hint="eastAsia" w:cs="Times New Roman" w:asciiTheme="minorEastAsia" w:hAnsiTheme="minorEastAsia"/>
          <w:szCs w:val="21"/>
        </w:rPr>
        <w:t>基本</w:t>
      </w:r>
      <w:r>
        <w:rPr>
          <w:rFonts w:cs="Times New Roman" w:asciiTheme="minorEastAsia" w:hAnsiTheme="minorEastAsia"/>
          <w:szCs w:val="21"/>
        </w:rPr>
        <w:t>知识和</w:t>
      </w:r>
      <w:r>
        <w:rPr>
          <w:rFonts w:hint="eastAsia" w:cs="Times New Roman" w:asciiTheme="minorEastAsia" w:hAnsiTheme="minorEastAsia"/>
          <w:szCs w:val="21"/>
        </w:rPr>
        <w:t>基本技能。</w:t>
      </w:r>
      <w:r>
        <w:rPr>
          <w:rFonts w:cs="Times New Roman" w:asciiTheme="minorEastAsia" w:hAnsiTheme="minorEastAsia"/>
          <w:szCs w:val="21"/>
        </w:rPr>
        <w:t>能熟练应用各种</w:t>
      </w:r>
      <w:r>
        <w:rPr>
          <w:rFonts w:hint="eastAsia" w:cs="Times New Roman" w:asciiTheme="minorEastAsia" w:hAnsiTheme="minorEastAsia"/>
          <w:szCs w:val="21"/>
        </w:rPr>
        <w:t>医学和护理学</w:t>
      </w:r>
      <w:r>
        <w:rPr>
          <w:rFonts w:cs="Times New Roman" w:asciiTheme="minorEastAsia" w:hAnsiTheme="minorEastAsia"/>
          <w:szCs w:val="21"/>
        </w:rPr>
        <w:t>数据库</w:t>
      </w:r>
      <w:r>
        <w:rPr>
          <w:rFonts w:hint="eastAsia" w:cs="Times New Roman" w:asciiTheme="minorEastAsia" w:hAnsiTheme="minorEastAsia"/>
          <w:szCs w:val="21"/>
        </w:rPr>
        <w:t>，掌握医学和护理学</w:t>
      </w:r>
      <w:r>
        <w:rPr>
          <w:rFonts w:cs="Times New Roman" w:asciiTheme="minorEastAsia" w:hAnsiTheme="minorEastAsia"/>
          <w:szCs w:val="21"/>
        </w:rPr>
        <w:t>文献检索</w:t>
      </w:r>
      <w:r>
        <w:rPr>
          <w:rFonts w:hint="eastAsia" w:cs="Times New Roman" w:asciiTheme="minorEastAsia" w:hAnsiTheme="minorEastAsia"/>
          <w:szCs w:val="21"/>
        </w:rPr>
        <w:t>和管理。</w:t>
      </w:r>
      <w:r>
        <w:rPr>
          <w:rFonts w:cs="Times New Roman" w:asciiTheme="minorEastAsia" w:hAnsiTheme="minorEastAsia"/>
          <w:szCs w:val="21"/>
        </w:rPr>
        <w:t>能熟练地阅读本专业的外文资料，具有一定的</w:t>
      </w:r>
      <w:r>
        <w:rPr>
          <w:rFonts w:hint="eastAsia" w:cs="Times New Roman" w:asciiTheme="minorEastAsia" w:hAnsiTheme="minorEastAsia"/>
          <w:szCs w:val="21"/>
        </w:rPr>
        <w:t>外</w:t>
      </w:r>
      <w:r>
        <w:rPr>
          <w:rFonts w:cs="Times New Roman" w:asciiTheme="minorEastAsia" w:hAnsiTheme="minorEastAsia"/>
          <w:szCs w:val="21"/>
        </w:rPr>
        <w:t>文写作和口语交际能力</w:t>
      </w:r>
      <w:r>
        <w:rPr>
          <w:rFonts w:hint="eastAsia" w:cs="Times New Roman" w:asciiTheme="minorEastAsia" w:hAnsiTheme="minorEastAsia"/>
          <w:szCs w:val="21"/>
        </w:rPr>
        <w:t>。</w:t>
      </w:r>
      <w:r>
        <w:rPr>
          <w:rFonts w:cs="Times New Roman" w:asciiTheme="minorEastAsia" w:hAnsiTheme="minorEastAsia"/>
          <w:szCs w:val="21"/>
        </w:rPr>
        <w:t>具有一定</w:t>
      </w:r>
      <w:r>
        <w:rPr>
          <w:rFonts w:hint="eastAsia" w:cs="Times New Roman" w:asciiTheme="minorEastAsia" w:hAnsiTheme="minorEastAsia"/>
          <w:szCs w:val="21"/>
        </w:rPr>
        <w:t>的人文社会科学</w:t>
      </w:r>
      <w:r>
        <w:rPr>
          <w:rFonts w:cs="Times New Roman" w:asciiTheme="minorEastAsia" w:hAnsiTheme="minorEastAsia"/>
          <w:szCs w:val="21"/>
        </w:rPr>
        <w:t>基本知识。</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3．</w:t>
      </w:r>
      <w:r>
        <w:rPr>
          <w:rFonts w:hint="eastAsia" w:cs="Times New Roman" w:asciiTheme="minorEastAsia" w:hAnsiTheme="minorEastAsia"/>
          <w:szCs w:val="21"/>
        </w:rPr>
        <w:t>具备主动获取知识的意识和能力，能综合运用护理学理论知识和研究手段，开展科学研究。</w:t>
      </w:r>
      <w:r>
        <w:rPr>
          <w:rFonts w:cs="Times New Roman" w:asciiTheme="minorEastAsia" w:hAnsiTheme="minorEastAsia"/>
          <w:szCs w:val="21"/>
        </w:rPr>
        <w:t>具有</w:t>
      </w:r>
      <w:r>
        <w:rPr>
          <w:rFonts w:hint="eastAsia" w:cs="Times New Roman" w:asciiTheme="minorEastAsia" w:hAnsiTheme="minorEastAsia"/>
          <w:szCs w:val="21"/>
        </w:rPr>
        <w:t>科学</w:t>
      </w:r>
      <w:r>
        <w:rPr>
          <w:rFonts w:cs="Times New Roman" w:asciiTheme="minorEastAsia" w:hAnsiTheme="minorEastAsia"/>
          <w:szCs w:val="21"/>
        </w:rPr>
        <w:t>逻辑思维</w:t>
      </w:r>
      <w:r>
        <w:rPr>
          <w:rFonts w:hint="eastAsia" w:cs="Times New Roman" w:asciiTheme="minorEastAsia" w:hAnsiTheme="minorEastAsia"/>
          <w:szCs w:val="21"/>
        </w:rPr>
        <w:t>、批判思维和较高</w:t>
      </w:r>
      <w:r>
        <w:rPr>
          <w:rFonts w:cs="Times New Roman" w:asciiTheme="minorEastAsia" w:hAnsiTheme="minorEastAsia"/>
          <w:szCs w:val="21"/>
        </w:rPr>
        <w:t>的创新能力，</w:t>
      </w:r>
      <w:r>
        <w:rPr>
          <w:rFonts w:hint="eastAsia" w:cs="Times New Roman" w:asciiTheme="minorEastAsia" w:hAnsiTheme="minorEastAsia"/>
          <w:szCs w:val="21"/>
        </w:rPr>
        <w:t>能够独立从事护理学及相关领域科学研究工作。具有较强的语言交流和文字表达能力。</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4</w:t>
      </w:r>
      <w:r>
        <w:rPr>
          <w:rFonts w:cs="Times New Roman" w:asciiTheme="minorEastAsia" w:hAnsiTheme="minorEastAsia"/>
          <w:szCs w:val="21"/>
        </w:rPr>
        <w:t xml:space="preserve">. </w:t>
      </w:r>
      <w:r>
        <w:rPr>
          <w:rFonts w:hint="eastAsia" w:cs="Times New Roman" w:asciiTheme="minorEastAsia" w:hAnsiTheme="minorEastAsia"/>
          <w:szCs w:val="21"/>
        </w:rPr>
        <w:t>具有强烈的社会责任感和良好的团队合作精神。能够运用其他学科的前沿知识和先进技术，开展临床护理交叉融合性的科学研究。具有较强管理沟通和教学能力，能够有效利用各种资源提高工作效率。</w:t>
      </w:r>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bookmarkStart w:id="507" w:name="_Toc520822690"/>
      <w:bookmarkStart w:id="508" w:name="_Toc519846470"/>
      <w:r>
        <w:rPr>
          <w:rFonts w:ascii="黑体" w:hAnsi="黑体" w:eastAsia="黑体"/>
          <w:sz w:val="24"/>
          <w:szCs w:val="24"/>
        </w:rPr>
        <w:t>二、研究方向</w:t>
      </w:r>
      <w:bookmarkEnd w:id="507"/>
      <w:bookmarkEnd w:id="508"/>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ascii="Times New Roman" w:hAnsi="Times New Roman" w:cs="Times New Roman"/>
          <w:szCs w:val="21"/>
        </w:rPr>
      </w:pPr>
      <w:r>
        <w:rPr>
          <w:rFonts w:hint="eastAsia" w:ascii="Times New Roman" w:hAnsi="Times New Roman" w:cs="Times New Roman"/>
          <w:szCs w:val="21"/>
        </w:rPr>
        <w:t>1．精神心理护理；</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．护理教育与管理；</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ascii="Times New Roman" w:hAnsi="Times New Roman" w:cs="Times New Roman"/>
          <w:szCs w:val="21"/>
        </w:rPr>
      </w:pPr>
      <w:r>
        <w:rPr>
          <w:rFonts w:ascii="Times New Roman" w:hAnsi="Times New Roman" w:cs="Times New Roman"/>
          <w:szCs w:val="21"/>
        </w:rPr>
        <w:t>3</w:t>
      </w:r>
      <w:r>
        <w:rPr>
          <w:rFonts w:hint="eastAsia" w:ascii="Times New Roman" w:hAnsi="Times New Roman" w:cs="Times New Roman"/>
          <w:szCs w:val="21"/>
        </w:rPr>
        <w:t>．妇儿护理；</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ascii="Times New Roman" w:hAnsi="Times New Roman" w:cs="Times New Roman"/>
          <w:szCs w:val="21"/>
        </w:rPr>
      </w:pPr>
      <w:r>
        <w:rPr>
          <w:rFonts w:ascii="Times New Roman" w:hAnsi="Times New Roman" w:cs="Times New Roman"/>
          <w:szCs w:val="21"/>
        </w:rPr>
        <w:t>4</w:t>
      </w:r>
      <w:r>
        <w:rPr>
          <w:rFonts w:hint="eastAsia" w:ascii="Times New Roman" w:hAnsi="Times New Roman" w:cs="Times New Roman"/>
          <w:szCs w:val="21"/>
        </w:rPr>
        <w:t>．老年与慢性病护理；</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ascii="Times New Roman" w:hAnsi="Times New Roman" w:cs="Times New Roman"/>
          <w:szCs w:val="21"/>
        </w:rPr>
      </w:pPr>
      <w:r>
        <w:rPr>
          <w:rFonts w:hint="eastAsia" w:ascii="Times New Roman" w:hAnsi="Times New Roman" w:cs="Times New Roman"/>
          <w:szCs w:val="21"/>
        </w:rPr>
        <w:t>5．智慧护理（护理+人工智能+大数据）。</w:t>
      </w:r>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bookmarkStart w:id="509" w:name="_Toc519846471"/>
      <w:bookmarkStart w:id="510" w:name="_Toc520822691"/>
      <w:r>
        <w:rPr>
          <w:rFonts w:ascii="黑体" w:hAnsi="黑体" w:eastAsia="黑体"/>
          <w:sz w:val="24"/>
          <w:szCs w:val="24"/>
        </w:rPr>
        <w:t>三、学习年限</w:t>
      </w:r>
      <w:bookmarkEnd w:id="509"/>
      <w:bookmarkEnd w:id="510"/>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cs="Times New Roman" w:asciiTheme="minorEastAsia" w:hAnsiTheme="minorEastAsia"/>
          <w:kern w:val="0"/>
          <w:szCs w:val="21"/>
        </w:rPr>
      </w:pPr>
      <w:r>
        <w:rPr>
          <w:rFonts w:cs="Times New Roman" w:asciiTheme="minorEastAsia" w:hAnsiTheme="minorEastAsia"/>
          <w:szCs w:val="21"/>
        </w:rPr>
        <w:t>以硕博连读方式进入贯通式培养体系的学生（以下简称</w:t>
      </w:r>
      <w:r>
        <w:rPr>
          <w:rFonts w:hint="eastAsia" w:cs="Times New Roman" w:asciiTheme="minorEastAsia" w:hAnsiTheme="minorEastAsia"/>
          <w:szCs w:val="21"/>
        </w:rPr>
        <w:t>“</w:t>
      </w:r>
      <w:r>
        <w:rPr>
          <w:rFonts w:cs="Times New Roman" w:asciiTheme="minorEastAsia" w:hAnsiTheme="minorEastAsia"/>
          <w:szCs w:val="21"/>
        </w:rPr>
        <w:t>硕博连读生</w:t>
      </w:r>
      <w:r>
        <w:rPr>
          <w:rFonts w:hint="eastAsia" w:cs="Times New Roman" w:asciiTheme="minorEastAsia" w:hAnsiTheme="minorEastAsia"/>
          <w:szCs w:val="21"/>
        </w:rPr>
        <w:t>”</w:t>
      </w:r>
      <w:r>
        <w:rPr>
          <w:rFonts w:cs="Times New Roman" w:asciiTheme="minorEastAsia" w:hAnsiTheme="minorEastAsia"/>
          <w:szCs w:val="21"/>
        </w:rPr>
        <w:t>），在博士培养阶段的学习年限为</w:t>
      </w:r>
      <w:r>
        <w:rPr>
          <w:rFonts w:ascii="Times New Roman" w:hAnsi="Times New Roman" w:cs="Times New Roman"/>
          <w:szCs w:val="21"/>
        </w:rPr>
        <w:t>3</w:t>
      </w:r>
      <w:r>
        <w:rPr>
          <w:rFonts w:hint="eastAsia" w:ascii="Times New Roman" w:hAnsi="Times New Roman" w:cs="Times New Roman"/>
          <w:szCs w:val="21"/>
        </w:rPr>
        <w:t>-</w:t>
      </w:r>
      <w:r>
        <w:rPr>
          <w:rFonts w:ascii="Times New Roman" w:hAnsi="Times New Roman" w:cs="Times New Roman"/>
          <w:szCs w:val="21"/>
        </w:rPr>
        <w:t>5</w:t>
      </w:r>
      <w:r>
        <w:rPr>
          <w:rFonts w:cs="Times New Roman" w:asciiTheme="minorEastAsia" w:hAnsiTheme="minorEastAsia"/>
          <w:szCs w:val="21"/>
        </w:rPr>
        <w:t>年；以直攻博方式进入贯通式培养体系的学生（以下简称</w:t>
      </w:r>
      <w:r>
        <w:rPr>
          <w:rFonts w:hint="eastAsia" w:cs="Times New Roman" w:asciiTheme="minorEastAsia" w:hAnsiTheme="minorEastAsia"/>
          <w:szCs w:val="21"/>
        </w:rPr>
        <w:t>“</w:t>
      </w:r>
      <w:r>
        <w:rPr>
          <w:rFonts w:cs="Times New Roman" w:asciiTheme="minorEastAsia" w:hAnsiTheme="minorEastAsia"/>
          <w:szCs w:val="21"/>
        </w:rPr>
        <w:t>直博生</w:t>
      </w:r>
      <w:r>
        <w:rPr>
          <w:rFonts w:hint="eastAsia" w:cs="Times New Roman" w:asciiTheme="minorEastAsia" w:hAnsiTheme="minorEastAsia"/>
          <w:szCs w:val="21"/>
        </w:rPr>
        <w:t>”</w:t>
      </w:r>
      <w:r>
        <w:rPr>
          <w:rFonts w:cs="Times New Roman" w:asciiTheme="minorEastAsia" w:hAnsiTheme="minorEastAsia"/>
          <w:szCs w:val="21"/>
        </w:rPr>
        <w:t>），学习年限为</w:t>
      </w:r>
      <w:r>
        <w:rPr>
          <w:rFonts w:ascii="Times New Roman" w:hAnsi="Times New Roman" w:cs="Times New Roman"/>
          <w:szCs w:val="21"/>
        </w:rPr>
        <w:t>4</w:t>
      </w:r>
      <w:r>
        <w:rPr>
          <w:rFonts w:hint="eastAsia" w:ascii="Times New Roman" w:hAnsi="Times New Roman" w:cs="Times New Roman"/>
          <w:szCs w:val="21"/>
        </w:rPr>
        <w:t>-</w:t>
      </w:r>
      <w:r>
        <w:rPr>
          <w:rFonts w:ascii="Times New Roman" w:hAnsi="Times New Roman" w:cs="Times New Roman"/>
          <w:szCs w:val="21"/>
        </w:rPr>
        <w:t>6</w:t>
      </w:r>
      <w:r>
        <w:rPr>
          <w:rFonts w:cs="Times New Roman" w:asciiTheme="minorEastAsia" w:hAnsiTheme="minorEastAsia"/>
          <w:szCs w:val="21"/>
        </w:rPr>
        <w:t>年</w:t>
      </w:r>
      <w:r>
        <w:rPr>
          <w:rFonts w:hint="eastAsia" w:cs="Times New Roman" w:asciiTheme="minorEastAsia" w:hAnsiTheme="minorEastAsia"/>
          <w:szCs w:val="21"/>
        </w:rPr>
        <w:t>。</w:t>
      </w:r>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bookmarkStart w:id="511" w:name="_Toc519846472"/>
      <w:bookmarkStart w:id="512" w:name="_Toc520822692"/>
      <w:r>
        <w:rPr>
          <w:rFonts w:ascii="黑体" w:hAnsi="黑体" w:eastAsia="黑体"/>
          <w:sz w:val="24"/>
          <w:szCs w:val="24"/>
        </w:rPr>
        <w:t>四、培养方式</w:t>
      </w:r>
      <w:bookmarkEnd w:id="511"/>
      <w:bookmarkEnd w:id="512"/>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以立德树人为根本任务，实现硕博贯通的培养方式，具体的培养方式是：</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1</w:t>
      </w:r>
      <w:r>
        <w:rPr>
          <w:rFonts w:ascii="Times New Roman" w:hAnsi="Times New Roman" w:eastAsia="宋体" w:cs="Times New Roman"/>
          <w:szCs w:val="21"/>
        </w:rPr>
        <w:t>．</w:t>
      </w:r>
      <w:r>
        <w:rPr>
          <w:rFonts w:cs="Times New Roman" w:asciiTheme="minorEastAsia" w:hAnsiTheme="minorEastAsia"/>
          <w:szCs w:val="21"/>
        </w:rPr>
        <w:t>导师小组联合指导，导师负责制。各系、中心应成立以博士生导师为主5人指导小组及课题小组的有关成员，按照硕博连读生培养计划的要求，制订培养计划</w:t>
      </w:r>
      <w:r>
        <w:rPr>
          <w:rFonts w:hint="eastAsia" w:cs="Times New Roman" w:asciiTheme="minorEastAsia" w:hAnsiTheme="minorEastAsia"/>
          <w:szCs w:val="21"/>
        </w:rPr>
        <w:t>，</w:t>
      </w:r>
      <w:r>
        <w:rPr>
          <w:rFonts w:cs="Times New Roman" w:asciiTheme="minorEastAsia" w:hAnsiTheme="minorEastAsia"/>
          <w:szCs w:val="21"/>
        </w:rPr>
        <w:t>共同协助搞好贯通式研究生的培养工作。</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2</w:t>
      </w:r>
      <w:r>
        <w:rPr>
          <w:rFonts w:ascii="Times New Roman" w:hAnsi="Times New Roman" w:eastAsia="宋体" w:cs="Times New Roman"/>
          <w:szCs w:val="21"/>
        </w:rPr>
        <w:t>．</w:t>
      </w:r>
      <w:r>
        <w:rPr>
          <w:rFonts w:cs="Times New Roman" w:asciiTheme="minorEastAsia" w:hAnsiTheme="minorEastAsia"/>
          <w:szCs w:val="21"/>
        </w:rPr>
        <w:t>课程学习要满足需要的学分</w:t>
      </w:r>
      <w:r>
        <w:rPr>
          <w:rFonts w:hint="eastAsia" w:cs="Times New Roman" w:asciiTheme="minorEastAsia" w:hAnsiTheme="minorEastAsia"/>
          <w:szCs w:val="21"/>
        </w:rPr>
        <w:t>。</w:t>
      </w:r>
      <w:r>
        <w:rPr>
          <w:rFonts w:cs="Times New Roman" w:asciiTheme="minorEastAsia" w:hAnsiTheme="minorEastAsia"/>
          <w:szCs w:val="21"/>
        </w:rPr>
        <w:t>课程包括本专业的基础和前沿课程</w:t>
      </w:r>
      <w:r>
        <w:rPr>
          <w:rFonts w:hint="eastAsia" w:cs="Times New Roman" w:asciiTheme="minorEastAsia" w:hAnsiTheme="minorEastAsia"/>
          <w:szCs w:val="21"/>
        </w:rPr>
        <w:t>，以</w:t>
      </w:r>
      <w:r>
        <w:rPr>
          <w:rFonts w:cs="Times New Roman" w:asciiTheme="minorEastAsia" w:hAnsiTheme="minorEastAsia"/>
          <w:szCs w:val="21"/>
        </w:rPr>
        <w:t>培养学生开展研究工作的必备知识和技术</w:t>
      </w:r>
      <w:r>
        <w:rPr>
          <w:rFonts w:hint="eastAsia" w:cs="Times New Roman" w:asciiTheme="minorEastAsia" w:hAnsiTheme="minorEastAsia"/>
          <w:szCs w:val="21"/>
        </w:rPr>
        <w:t>。</w:t>
      </w:r>
      <w:r>
        <w:rPr>
          <w:rFonts w:cs="Times New Roman" w:asciiTheme="minorEastAsia" w:hAnsiTheme="minorEastAsia"/>
          <w:szCs w:val="21"/>
        </w:rPr>
        <w:t>可采用上课、学术报告、国际交流、讨论等方式。</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3</w:t>
      </w:r>
      <w:r>
        <w:rPr>
          <w:rFonts w:ascii="Times New Roman" w:hAnsi="Times New Roman" w:eastAsia="宋体" w:cs="Times New Roman"/>
          <w:szCs w:val="21"/>
        </w:rPr>
        <w:t>．</w:t>
      </w:r>
      <w:r>
        <w:rPr>
          <w:rFonts w:cs="Times New Roman" w:asciiTheme="minorEastAsia" w:hAnsiTheme="minorEastAsia"/>
          <w:szCs w:val="21"/>
        </w:rPr>
        <w:t>积极鼓励学生参加会议、讲座等，开展丰富多彩的科研活动，营造浓郁的科研氛围，提升学生的科研兴趣，增强学生解决重大科学问题的动力。</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4</w:t>
      </w:r>
      <w:r>
        <w:rPr>
          <w:rFonts w:ascii="Times New Roman" w:hAnsi="Times New Roman" w:eastAsia="宋体" w:cs="Times New Roman"/>
          <w:szCs w:val="21"/>
        </w:rPr>
        <w:t>．</w:t>
      </w:r>
      <w:r>
        <w:rPr>
          <w:rFonts w:ascii="Times New Roman" w:hAnsi="Times New Roman" w:cs="Times New Roman"/>
          <w:szCs w:val="21"/>
        </w:rPr>
        <w:t>通过课题组、院系的科研汇报会、文献阅读会、小组讨论会，个别指导等形式，逐步强化学生的</w:t>
      </w:r>
      <w:r>
        <w:rPr>
          <w:rFonts w:cs="Times New Roman" w:asciiTheme="minorEastAsia" w:hAnsiTheme="minorEastAsia"/>
          <w:szCs w:val="21"/>
        </w:rPr>
        <w:t>科研创新能力。</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5</w:t>
      </w:r>
      <w:r>
        <w:rPr>
          <w:rFonts w:ascii="Times New Roman" w:hAnsi="Times New Roman" w:eastAsia="宋体" w:cs="Times New Roman"/>
          <w:szCs w:val="21"/>
        </w:rPr>
        <w:t>．</w:t>
      </w:r>
      <w:r>
        <w:rPr>
          <w:rFonts w:cs="Times New Roman" w:asciiTheme="minorEastAsia" w:hAnsiTheme="minorEastAsia"/>
          <w:szCs w:val="21"/>
        </w:rPr>
        <w:t>加强培养期间的过程管理，第一学年学习专业基础理论与基本</w:t>
      </w:r>
      <w:r>
        <w:rPr>
          <w:rFonts w:hint="eastAsia" w:cs="Times New Roman" w:asciiTheme="minorEastAsia" w:hAnsiTheme="minorEastAsia"/>
          <w:szCs w:val="21"/>
        </w:rPr>
        <w:t>研究</w:t>
      </w:r>
      <w:r>
        <w:rPr>
          <w:rFonts w:cs="Times New Roman" w:asciiTheme="minorEastAsia" w:hAnsiTheme="minorEastAsia"/>
          <w:szCs w:val="21"/>
        </w:rPr>
        <w:t>方法，掌握进行科研所必需的基本技能并写出文献综述。从第二年开始在导师指导下进入课题研究和学位论文准备阶段。硕博连读生，硕士阶段第二学年内完成博士资格考核，在进入博士阶段第二学年起至第三学年末完成博士中期考核；直博生，第二学年内完成博士资格审核，自第三学年起至第四学年末完成博士中期考核</w:t>
      </w:r>
      <w:r>
        <w:rPr>
          <w:rFonts w:hint="eastAsia" w:cs="Times New Roman" w:asciiTheme="minorEastAsia" w:hAnsiTheme="minorEastAsia"/>
          <w:szCs w:val="21"/>
        </w:rPr>
        <w:t>。</w:t>
      </w:r>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bookmarkStart w:id="513" w:name="_Toc520822693"/>
      <w:bookmarkStart w:id="514" w:name="_Toc519846473"/>
      <w:r>
        <w:rPr>
          <w:rFonts w:ascii="黑体" w:hAnsi="黑体" w:eastAsia="黑体"/>
          <w:sz w:val="24"/>
          <w:szCs w:val="24"/>
        </w:rPr>
        <w:t>五、课程学习及学分设置</w:t>
      </w:r>
      <w:bookmarkEnd w:id="513"/>
      <w:bookmarkEnd w:id="514"/>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本学科学术型硕博贯通式培养方案共需修满44学分，其中课程学习27学分，必修环节</w:t>
      </w:r>
      <w:r>
        <w:rPr>
          <w:rFonts w:cs="Times New Roman" w:asciiTheme="minorEastAsia" w:hAnsiTheme="minorEastAsia"/>
          <w:szCs w:val="21"/>
        </w:rPr>
        <w:t>17学分</w:t>
      </w:r>
      <w:r>
        <w:rPr>
          <w:rFonts w:hint="eastAsia" w:cs="Times New Roman" w:asciiTheme="minorEastAsia" w:hAnsiTheme="minorEastAsia"/>
          <w:szCs w:val="21"/>
        </w:rPr>
        <w:t>。</w:t>
      </w:r>
      <w:r>
        <w:rPr>
          <w:rFonts w:cs="Times New Roman" w:asciiTheme="minorEastAsia" w:hAnsiTheme="minorEastAsia"/>
          <w:szCs w:val="21"/>
        </w:rPr>
        <w:t>课程学习包括：学位课1</w:t>
      </w:r>
      <w:r>
        <w:rPr>
          <w:rFonts w:hint="eastAsia" w:cs="Times New Roman" w:asciiTheme="minorEastAsia" w:hAnsiTheme="minorEastAsia"/>
          <w:szCs w:val="21"/>
        </w:rPr>
        <w:t>9</w:t>
      </w:r>
      <w:r>
        <w:rPr>
          <w:rFonts w:cs="Times New Roman" w:asciiTheme="minorEastAsia" w:hAnsiTheme="minorEastAsia"/>
          <w:szCs w:val="21"/>
        </w:rPr>
        <w:t>学分，选修课</w:t>
      </w:r>
      <w:r>
        <w:rPr>
          <w:rFonts w:hint="eastAsia" w:cs="Times New Roman" w:asciiTheme="minorEastAsia" w:hAnsiTheme="minorEastAsia"/>
          <w:szCs w:val="21"/>
        </w:rPr>
        <w:t>8</w:t>
      </w:r>
      <w:r>
        <w:rPr>
          <w:rFonts w:cs="Times New Roman" w:asciiTheme="minorEastAsia" w:hAnsiTheme="minorEastAsia"/>
          <w:szCs w:val="21"/>
        </w:rPr>
        <w:t>学分。学位课包括公共学位课7学分（思政课</w:t>
      </w:r>
      <w:r>
        <w:rPr>
          <w:rFonts w:hint="eastAsia" w:cs="Times New Roman" w:asciiTheme="minorEastAsia" w:hAnsiTheme="minorEastAsia"/>
          <w:szCs w:val="21"/>
        </w:rPr>
        <w:t>5</w:t>
      </w:r>
      <w:r>
        <w:rPr>
          <w:rFonts w:cs="Times New Roman" w:asciiTheme="minorEastAsia" w:hAnsiTheme="minorEastAsia"/>
          <w:szCs w:val="21"/>
        </w:rPr>
        <w:t>学分，外语课2学分），</w:t>
      </w:r>
      <w:r>
        <w:rPr>
          <w:rFonts w:hint="eastAsia" w:cs="Times New Roman" w:asciiTheme="minorEastAsia" w:hAnsiTheme="minorEastAsia"/>
          <w:szCs w:val="21"/>
        </w:rPr>
        <w:t>学科</w:t>
      </w:r>
      <w:r>
        <w:rPr>
          <w:rFonts w:cs="Times New Roman" w:asciiTheme="minorEastAsia" w:hAnsiTheme="minorEastAsia"/>
          <w:szCs w:val="21"/>
        </w:rPr>
        <w:t>学位课</w:t>
      </w:r>
      <w:r>
        <w:rPr>
          <w:rFonts w:hint="eastAsia" w:cs="Times New Roman" w:asciiTheme="minorEastAsia" w:hAnsiTheme="minorEastAsia"/>
          <w:szCs w:val="21"/>
        </w:rPr>
        <w:t>12</w:t>
      </w:r>
      <w:r>
        <w:rPr>
          <w:rFonts w:cs="Times New Roman" w:asciiTheme="minorEastAsia" w:hAnsiTheme="minorEastAsia"/>
          <w:szCs w:val="21"/>
        </w:rPr>
        <w:t>学分</w:t>
      </w:r>
      <w:r>
        <w:rPr>
          <w:rFonts w:hint="eastAsia" w:cs="Times New Roman" w:asciiTheme="minorEastAsia" w:hAnsiTheme="minorEastAsia"/>
          <w:szCs w:val="21"/>
        </w:rPr>
        <w:t>。</w:t>
      </w:r>
    </w:p>
    <w:tbl>
      <w:tblPr>
        <w:tblStyle w:val="37"/>
        <w:tblW w:w="47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574"/>
        <w:gridCol w:w="952"/>
        <w:gridCol w:w="1404"/>
        <w:gridCol w:w="2464"/>
        <w:gridCol w:w="642"/>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683"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b/>
                <w:bCs/>
                <w:szCs w:val="21"/>
              </w:rPr>
            </w:pPr>
            <w:r>
              <w:rPr>
                <w:rFonts w:ascii="Times New Roman" w:hAnsi="Times New Roman" w:cs="Times New Roman"/>
                <w:b/>
                <w:bCs/>
                <w:szCs w:val="21"/>
              </w:rPr>
              <w:t>课程类型</w:t>
            </w:r>
          </w:p>
        </w:tc>
        <w:tc>
          <w:tcPr>
            <w:tcW w:w="337"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b/>
                <w:bCs/>
                <w:szCs w:val="21"/>
              </w:rPr>
            </w:pPr>
            <w:r>
              <w:rPr>
                <w:rFonts w:ascii="Times New Roman" w:hAnsi="Times New Roman" w:cs="Times New Roman"/>
                <w:b/>
                <w:bCs/>
                <w:szCs w:val="21"/>
              </w:rPr>
              <w:t>序号</w:t>
            </w:r>
          </w:p>
        </w:tc>
        <w:tc>
          <w:tcPr>
            <w:tcW w:w="559"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b/>
                <w:bCs/>
                <w:szCs w:val="21"/>
              </w:rPr>
            </w:pPr>
            <w:r>
              <w:rPr>
                <w:rFonts w:hint="eastAsia" w:ascii="Times New Roman" w:hAnsi="Times New Roman" w:cs="Times New Roman"/>
                <w:b/>
                <w:bCs/>
                <w:szCs w:val="21"/>
              </w:rPr>
              <w:t>课程编号</w:t>
            </w:r>
          </w:p>
        </w:tc>
        <w:tc>
          <w:tcPr>
            <w:tcW w:w="825"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b/>
                <w:bCs/>
                <w:szCs w:val="21"/>
              </w:rPr>
            </w:pPr>
            <w:r>
              <w:rPr>
                <w:rFonts w:ascii="Times New Roman" w:hAnsi="Times New Roman" w:cs="Times New Roman"/>
                <w:b/>
                <w:bCs/>
                <w:szCs w:val="21"/>
              </w:rPr>
              <w:t>统一编码</w:t>
            </w:r>
          </w:p>
        </w:tc>
        <w:tc>
          <w:tcPr>
            <w:tcW w:w="1448"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b/>
                <w:bCs/>
                <w:szCs w:val="21"/>
              </w:rPr>
            </w:pPr>
            <w:r>
              <w:rPr>
                <w:rFonts w:ascii="Times New Roman" w:hAnsi="Times New Roman" w:cs="Times New Roman"/>
                <w:b/>
                <w:bCs/>
                <w:szCs w:val="21"/>
              </w:rPr>
              <w:t>课程名称</w:t>
            </w:r>
          </w:p>
        </w:tc>
        <w:tc>
          <w:tcPr>
            <w:tcW w:w="377"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b/>
                <w:bCs/>
                <w:szCs w:val="21"/>
              </w:rPr>
            </w:pPr>
            <w:r>
              <w:rPr>
                <w:rFonts w:ascii="Times New Roman" w:hAnsi="Times New Roman" w:cs="Times New Roman"/>
                <w:b/>
                <w:bCs/>
                <w:szCs w:val="21"/>
              </w:rPr>
              <w:t>学分</w:t>
            </w:r>
          </w:p>
        </w:tc>
        <w:tc>
          <w:tcPr>
            <w:tcW w:w="768"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b/>
                <w:bCs/>
                <w:szCs w:val="21"/>
              </w:rPr>
            </w:pPr>
            <w:r>
              <w:rPr>
                <w:rFonts w:ascii="Times New Roman" w:hAnsi="Times New Roman" w:cs="Times New Roman"/>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bCs/>
                <w:szCs w:val="21"/>
              </w:rPr>
            </w:pPr>
            <w:r>
              <w:rPr>
                <w:rFonts w:ascii="Times New Roman" w:hAnsi="Times New Roman" w:cs="Times New Roman"/>
                <w:bCs/>
                <w:szCs w:val="21"/>
              </w:rPr>
              <w:t>公共学位课</w:t>
            </w:r>
          </w:p>
        </w:tc>
        <w:tc>
          <w:tcPr>
            <w:tcW w:w="337"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559"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141003</w:t>
            </w:r>
          </w:p>
        </w:tc>
        <w:tc>
          <w:tcPr>
            <w:tcW w:w="825"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MLMD6003</w:t>
            </w:r>
            <w:r>
              <w:rPr>
                <w:rFonts w:hint="eastAsia" w:cs="Times New Roman" w:asciiTheme="minorEastAsia" w:hAnsiTheme="minorEastAsia"/>
                <w:szCs w:val="21"/>
              </w:rPr>
              <w:t>14</w:t>
            </w:r>
          </w:p>
        </w:tc>
        <w:tc>
          <w:tcPr>
            <w:tcW w:w="1448"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ascii="Times New Roman" w:hAnsi="Times New Roman" w:cs="Times New Roman"/>
                <w:szCs w:val="21"/>
              </w:rPr>
            </w:pPr>
            <w:r>
              <w:rPr>
                <w:rFonts w:hint="eastAsia" w:ascii="Times New Roman" w:hAnsi="Times New Roman" w:cs="Times New Roman"/>
                <w:szCs w:val="21"/>
              </w:rPr>
              <w:t>新时代</w:t>
            </w:r>
            <w:r>
              <w:rPr>
                <w:rFonts w:ascii="Times New Roman" w:hAnsi="Times New Roman" w:cs="Times New Roman"/>
                <w:szCs w:val="21"/>
              </w:rPr>
              <w:t>中国特色社会主义理论与实践</w:t>
            </w:r>
          </w:p>
        </w:tc>
        <w:tc>
          <w:tcPr>
            <w:tcW w:w="377"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768"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szCs w:val="21"/>
              </w:rPr>
            </w:pP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5学分</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hint="eastAsia" w:ascii="Times New Roman" w:hAnsi="Times New Roman" w:eastAsia="宋体" w:cs="Times New Roman"/>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b/>
                <w:bCs/>
                <w:szCs w:val="21"/>
              </w:rPr>
            </w:pPr>
          </w:p>
        </w:tc>
        <w:tc>
          <w:tcPr>
            <w:tcW w:w="337"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59"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141005</w:t>
            </w:r>
          </w:p>
        </w:tc>
        <w:tc>
          <w:tcPr>
            <w:tcW w:w="825"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PHLS6001</w:t>
            </w:r>
            <w:r>
              <w:rPr>
                <w:rFonts w:hint="eastAsia" w:cs="Times New Roman" w:asciiTheme="minorEastAsia" w:hAnsiTheme="minorEastAsia"/>
                <w:szCs w:val="21"/>
              </w:rPr>
              <w:t>14</w:t>
            </w:r>
          </w:p>
        </w:tc>
        <w:tc>
          <w:tcPr>
            <w:tcW w:w="1448"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ascii="Times New Roman" w:hAnsi="Times New Roman" w:cs="Times New Roman"/>
                <w:szCs w:val="21"/>
              </w:rPr>
            </w:pPr>
            <w:r>
              <w:rPr>
                <w:rFonts w:ascii="Times New Roman" w:hAnsi="Times New Roman" w:cs="Times New Roman"/>
                <w:szCs w:val="21"/>
              </w:rPr>
              <w:t>自然辩证法</w:t>
            </w:r>
          </w:p>
        </w:tc>
        <w:tc>
          <w:tcPr>
            <w:tcW w:w="377"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768"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b/>
                <w:bCs/>
                <w:szCs w:val="21"/>
              </w:rPr>
            </w:pPr>
          </w:p>
        </w:tc>
        <w:tc>
          <w:tcPr>
            <w:tcW w:w="337"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ascii="Times New Roman" w:hAnsi="Times New Roman" w:cs="Times New Roman"/>
                <w:szCs w:val="21"/>
              </w:rPr>
              <w:t>3</w:t>
            </w:r>
          </w:p>
        </w:tc>
        <w:tc>
          <w:tcPr>
            <w:tcW w:w="559"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12106</w:t>
            </w:r>
            <w:r>
              <w:rPr>
                <w:rFonts w:hint="eastAsia" w:cs="Times New Roman" w:asciiTheme="minorEastAsia" w:hAnsiTheme="minorEastAsia"/>
                <w:szCs w:val="21"/>
              </w:rPr>
              <w:t>7</w:t>
            </w:r>
          </w:p>
        </w:tc>
        <w:tc>
          <w:tcPr>
            <w:tcW w:w="825"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ENGL602112</w:t>
            </w:r>
          </w:p>
        </w:tc>
        <w:tc>
          <w:tcPr>
            <w:tcW w:w="1448"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textAlignment w:val="auto"/>
              <w:rPr>
                <w:rFonts w:ascii="Times New Roman" w:hAnsi="Times New Roman" w:cs="Times New Roman"/>
                <w:szCs w:val="21"/>
              </w:rPr>
            </w:pPr>
            <w:r>
              <w:rPr>
                <w:rFonts w:hint="eastAsia" w:ascii="Times New Roman" w:hAnsi="Times New Roman" w:cs="Times New Roman"/>
                <w:szCs w:val="21"/>
              </w:rPr>
              <w:t>学术英语二</w:t>
            </w:r>
          </w:p>
        </w:tc>
        <w:tc>
          <w:tcPr>
            <w:tcW w:w="377"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768"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b/>
                <w:bCs/>
                <w:szCs w:val="21"/>
              </w:rPr>
            </w:pPr>
          </w:p>
        </w:tc>
        <w:tc>
          <w:tcPr>
            <w:tcW w:w="337"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cs="Times New Roman"/>
                <w:szCs w:val="21"/>
              </w:rPr>
            </w:pPr>
            <w:r>
              <w:rPr>
                <w:rFonts w:ascii="Times New Roman" w:hAnsi="Times New Roman" w:cs="Times New Roman"/>
                <w:szCs w:val="21"/>
              </w:rPr>
              <w:t>4</w:t>
            </w:r>
          </w:p>
        </w:tc>
        <w:tc>
          <w:tcPr>
            <w:tcW w:w="559"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141006</w:t>
            </w:r>
          </w:p>
        </w:tc>
        <w:tc>
          <w:tcPr>
            <w:tcW w:w="825"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MLMD6001</w:t>
            </w:r>
            <w:r>
              <w:rPr>
                <w:rFonts w:hint="eastAsia" w:cs="Times New Roman" w:asciiTheme="minorEastAsia" w:hAnsiTheme="minorEastAsia"/>
                <w:szCs w:val="21"/>
              </w:rPr>
              <w:t>14</w:t>
            </w:r>
          </w:p>
        </w:tc>
        <w:tc>
          <w:tcPr>
            <w:tcW w:w="1448"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ascii="Times New Roman" w:hAnsi="Times New Roman" w:cs="Times New Roman"/>
                <w:szCs w:val="21"/>
              </w:rPr>
            </w:pPr>
            <w:r>
              <w:rPr>
                <w:rFonts w:ascii="Times New Roman" w:hAnsi="Times New Roman" w:cs="Times New Roman"/>
                <w:szCs w:val="21"/>
              </w:rPr>
              <w:t>中国马克思主义与当代</w:t>
            </w:r>
          </w:p>
        </w:tc>
        <w:tc>
          <w:tcPr>
            <w:tcW w:w="377"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768"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cs="Times New Roman"/>
                <w:spacing w:val="-4"/>
                <w:szCs w:val="21"/>
              </w:rPr>
            </w:pPr>
            <w:r>
              <w:rPr>
                <w:rFonts w:ascii="Times New Roman" w:hAnsi="Times New Roman" w:cs="Times New Roman"/>
                <w:szCs w:val="21"/>
              </w:rPr>
              <w:t>进</w:t>
            </w:r>
            <w:r>
              <w:rPr>
                <w:rFonts w:ascii="Times New Roman" w:hAnsi="Times New Roman" w:cs="Times New Roman"/>
                <w:spacing w:val="-4"/>
                <w:szCs w:val="21"/>
              </w:rPr>
              <w:t>入博士培养阶段后必选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b/>
                <w:bCs/>
                <w:szCs w:val="21"/>
              </w:rPr>
            </w:pPr>
            <w:r>
              <w:rPr>
                <w:rFonts w:hint="eastAsia" w:ascii="宋体" w:hAnsi="宋体" w:eastAsia="宋体" w:cs="宋体"/>
                <w:szCs w:val="21"/>
              </w:rPr>
              <w:t>学科</w:t>
            </w:r>
            <w:r>
              <w:rPr>
                <w:rFonts w:ascii="宋体" w:hAnsi="宋体" w:eastAsia="宋体" w:cs="宋体"/>
                <w:szCs w:val="21"/>
              </w:rPr>
              <w:t>学位课</w:t>
            </w:r>
          </w:p>
        </w:tc>
        <w:tc>
          <w:tcPr>
            <w:tcW w:w="337"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559"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cs="Times New Roman" w:asciiTheme="minorEastAsia" w:hAnsiTheme="minorEastAsia"/>
                <w:szCs w:val="21"/>
              </w:rPr>
              <w:t>152050</w:t>
            </w:r>
          </w:p>
        </w:tc>
        <w:tc>
          <w:tcPr>
            <w:tcW w:w="825"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PUBH6107</w:t>
            </w:r>
            <w:r>
              <w:rPr>
                <w:rFonts w:hint="eastAsia" w:cs="Times New Roman" w:asciiTheme="minorEastAsia" w:hAnsiTheme="minorEastAsia"/>
                <w:szCs w:val="21"/>
              </w:rPr>
              <w:t>15</w:t>
            </w:r>
          </w:p>
        </w:tc>
        <w:tc>
          <w:tcPr>
            <w:tcW w:w="1448"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ascii="Times New Roman" w:hAnsi="Times New Roman" w:cs="Times New Roman"/>
                <w:szCs w:val="21"/>
              </w:rPr>
            </w:pPr>
            <w:r>
              <w:rPr>
                <w:rFonts w:ascii="Times New Roman" w:hAnsi="Times New Roman" w:cs="Times New Roman"/>
                <w:szCs w:val="21"/>
              </w:rPr>
              <w:t>医学统计学</w:t>
            </w:r>
          </w:p>
        </w:tc>
        <w:tc>
          <w:tcPr>
            <w:tcW w:w="377"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768"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12学分</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b/>
                <w:bCs/>
                <w:szCs w:val="21"/>
              </w:rPr>
            </w:pPr>
          </w:p>
        </w:tc>
        <w:tc>
          <w:tcPr>
            <w:tcW w:w="337"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59"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153043</w:t>
            </w:r>
          </w:p>
        </w:tc>
        <w:tc>
          <w:tcPr>
            <w:tcW w:w="825"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BASM6125</w:t>
            </w:r>
            <w:r>
              <w:rPr>
                <w:rFonts w:hint="eastAsia" w:cs="Times New Roman" w:asciiTheme="minorEastAsia" w:hAnsiTheme="minorEastAsia"/>
                <w:szCs w:val="21"/>
              </w:rPr>
              <w:t>15</w:t>
            </w:r>
          </w:p>
        </w:tc>
        <w:tc>
          <w:tcPr>
            <w:tcW w:w="1448"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left"/>
              <w:textAlignment w:val="auto"/>
              <w:rPr>
                <w:rFonts w:ascii="Times New Roman" w:hAnsi="Times New Roman" w:cs="Times New Roman"/>
                <w:szCs w:val="21"/>
              </w:rPr>
            </w:pPr>
            <w:r>
              <w:rPr>
                <w:rFonts w:hint="eastAsia" w:cs="Times New Roman" w:asciiTheme="minorEastAsia" w:hAnsiTheme="minorEastAsia"/>
                <w:szCs w:val="21"/>
              </w:rPr>
              <w:t>Medical</w:t>
            </w:r>
            <w:r>
              <w:rPr>
                <w:rFonts w:cs="Times New Roman" w:asciiTheme="minorEastAsia" w:hAnsiTheme="minorEastAsia"/>
                <w:szCs w:val="21"/>
              </w:rPr>
              <w:t xml:space="preserve"> </w:t>
            </w:r>
            <w:r>
              <w:rPr>
                <w:rFonts w:hint="eastAsia" w:cs="Times New Roman" w:asciiTheme="minorEastAsia" w:hAnsiTheme="minorEastAsia"/>
                <w:szCs w:val="21"/>
              </w:rPr>
              <w:t>Molecular</w:t>
            </w:r>
            <w:r>
              <w:rPr>
                <w:rFonts w:cs="Times New Roman" w:asciiTheme="minorEastAsia" w:hAnsiTheme="minorEastAsia"/>
                <w:szCs w:val="21"/>
              </w:rPr>
              <w:t xml:space="preserve"> </w:t>
            </w:r>
            <w:r>
              <w:rPr>
                <w:rFonts w:hint="eastAsia" w:cs="Times New Roman" w:asciiTheme="minorEastAsia" w:hAnsiTheme="minorEastAsia"/>
                <w:szCs w:val="21"/>
              </w:rPr>
              <w:t>Biology（全英文）</w:t>
            </w:r>
          </w:p>
        </w:tc>
        <w:tc>
          <w:tcPr>
            <w:tcW w:w="377"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768"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b/>
                <w:bCs/>
                <w:szCs w:val="21"/>
              </w:rPr>
            </w:pPr>
          </w:p>
        </w:tc>
        <w:tc>
          <w:tcPr>
            <w:tcW w:w="337"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ascii="Times New Roman" w:hAnsi="Times New Roman" w:cs="Times New Roman"/>
                <w:szCs w:val="21"/>
              </w:rPr>
              <w:t>3</w:t>
            </w:r>
          </w:p>
        </w:tc>
        <w:tc>
          <w:tcPr>
            <w:tcW w:w="559"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152044</w:t>
            </w:r>
          </w:p>
        </w:tc>
        <w:tc>
          <w:tcPr>
            <w:tcW w:w="825"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PUBH6101</w:t>
            </w:r>
            <w:r>
              <w:rPr>
                <w:rFonts w:hint="eastAsia" w:cs="Times New Roman" w:asciiTheme="minorEastAsia" w:hAnsiTheme="minorEastAsia"/>
                <w:szCs w:val="21"/>
              </w:rPr>
              <w:t>15</w:t>
            </w:r>
          </w:p>
        </w:tc>
        <w:tc>
          <w:tcPr>
            <w:tcW w:w="1448"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ascii="Times New Roman" w:hAnsi="Times New Roman" w:cs="Times New Roman"/>
                <w:szCs w:val="21"/>
              </w:rPr>
            </w:pPr>
            <w:r>
              <w:rPr>
                <w:rFonts w:ascii="Times New Roman" w:hAnsi="Times New Roman" w:cs="Times New Roman"/>
                <w:szCs w:val="21"/>
              </w:rPr>
              <w:t>临床流行病学</w:t>
            </w:r>
          </w:p>
        </w:tc>
        <w:tc>
          <w:tcPr>
            <w:tcW w:w="377"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768"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b/>
                <w:szCs w:val="21"/>
              </w:rPr>
            </w:pPr>
          </w:p>
        </w:tc>
        <w:tc>
          <w:tcPr>
            <w:tcW w:w="337"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ascii="Times New Roman" w:hAnsi="Times New Roman" w:cs="Times New Roman"/>
                <w:szCs w:val="21"/>
              </w:rPr>
              <w:t>4</w:t>
            </w:r>
          </w:p>
        </w:tc>
        <w:tc>
          <w:tcPr>
            <w:tcW w:w="559"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152196</w:t>
            </w:r>
          </w:p>
        </w:tc>
        <w:tc>
          <w:tcPr>
            <w:tcW w:w="825"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NURS6105</w:t>
            </w:r>
            <w:r>
              <w:rPr>
                <w:rFonts w:hint="eastAsia" w:cs="Times New Roman" w:asciiTheme="minorEastAsia" w:hAnsiTheme="minorEastAsia"/>
                <w:szCs w:val="21"/>
              </w:rPr>
              <w:t>15</w:t>
            </w:r>
          </w:p>
        </w:tc>
        <w:tc>
          <w:tcPr>
            <w:tcW w:w="1448"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ascii="Times New Roman" w:hAnsi="Times New Roman" w:cs="Times New Roman"/>
                <w:szCs w:val="21"/>
              </w:rPr>
            </w:pPr>
            <w:r>
              <w:rPr>
                <w:rFonts w:ascii="Times New Roman" w:hAnsi="Times New Roman" w:cs="Times New Roman"/>
                <w:szCs w:val="21"/>
              </w:rPr>
              <w:t>护理学研究方法</w:t>
            </w:r>
          </w:p>
        </w:tc>
        <w:tc>
          <w:tcPr>
            <w:tcW w:w="377"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768"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b/>
                <w:bCs/>
                <w:szCs w:val="21"/>
              </w:rPr>
            </w:pPr>
          </w:p>
        </w:tc>
        <w:tc>
          <w:tcPr>
            <w:tcW w:w="337"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ascii="Times New Roman" w:hAnsi="Times New Roman" w:cs="Times New Roman"/>
                <w:szCs w:val="21"/>
              </w:rPr>
              <w:t>5</w:t>
            </w:r>
          </w:p>
        </w:tc>
        <w:tc>
          <w:tcPr>
            <w:tcW w:w="559"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152062</w:t>
            </w:r>
          </w:p>
        </w:tc>
        <w:tc>
          <w:tcPr>
            <w:tcW w:w="825"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NURS6102</w:t>
            </w:r>
            <w:r>
              <w:rPr>
                <w:rFonts w:hint="eastAsia" w:cs="Times New Roman" w:asciiTheme="minorEastAsia" w:hAnsiTheme="minorEastAsia"/>
                <w:szCs w:val="21"/>
              </w:rPr>
              <w:t>15</w:t>
            </w:r>
          </w:p>
        </w:tc>
        <w:tc>
          <w:tcPr>
            <w:tcW w:w="1448"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ascii="Times New Roman" w:hAnsi="Times New Roman" w:cs="Times New Roman"/>
                <w:szCs w:val="21"/>
              </w:rPr>
            </w:pPr>
            <w:r>
              <w:rPr>
                <w:rFonts w:ascii="Times New Roman" w:hAnsi="Times New Roman" w:cs="Times New Roman"/>
                <w:szCs w:val="21"/>
              </w:rPr>
              <w:t>护理理论</w:t>
            </w:r>
          </w:p>
        </w:tc>
        <w:tc>
          <w:tcPr>
            <w:tcW w:w="377"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768"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b/>
                <w:bCs/>
                <w:szCs w:val="21"/>
              </w:rPr>
            </w:pPr>
          </w:p>
        </w:tc>
        <w:tc>
          <w:tcPr>
            <w:tcW w:w="337"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ascii="Times New Roman" w:hAnsi="Times New Roman" w:cs="Times New Roman"/>
                <w:szCs w:val="21"/>
              </w:rPr>
              <w:t>6</w:t>
            </w:r>
          </w:p>
        </w:tc>
        <w:tc>
          <w:tcPr>
            <w:tcW w:w="559"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152107</w:t>
            </w:r>
          </w:p>
        </w:tc>
        <w:tc>
          <w:tcPr>
            <w:tcW w:w="825"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NURS7101</w:t>
            </w:r>
            <w:r>
              <w:rPr>
                <w:rFonts w:hint="eastAsia" w:cs="Times New Roman" w:asciiTheme="minorEastAsia" w:hAnsiTheme="minorEastAsia"/>
                <w:szCs w:val="21"/>
              </w:rPr>
              <w:t>15</w:t>
            </w:r>
          </w:p>
        </w:tc>
        <w:tc>
          <w:tcPr>
            <w:tcW w:w="1448"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ascii="Times New Roman" w:hAnsi="Times New Roman" w:cs="Times New Roman"/>
                <w:szCs w:val="21"/>
              </w:rPr>
            </w:pPr>
            <w:r>
              <w:rPr>
                <w:rFonts w:ascii="Times New Roman" w:hAnsi="Times New Roman" w:cs="Times New Roman"/>
                <w:szCs w:val="21"/>
              </w:rPr>
              <w:t>护理学(2)</w:t>
            </w:r>
          </w:p>
        </w:tc>
        <w:tc>
          <w:tcPr>
            <w:tcW w:w="377"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768"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eastAsia="宋体" w:cs="宋体"/>
                <w:szCs w:val="21"/>
              </w:rPr>
            </w:pPr>
            <w:r>
              <w:rPr>
                <w:rFonts w:hint="eastAsia" w:ascii="宋体" w:hAnsi="宋体" w:eastAsia="宋体" w:cs="宋体"/>
                <w:szCs w:val="21"/>
              </w:rPr>
              <w:t>学科</w:t>
            </w:r>
            <w:r>
              <w:rPr>
                <w:rFonts w:ascii="宋体" w:hAnsi="宋体" w:eastAsia="宋体" w:cs="宋体"/>
                <w:szCs w:val="21"/>
              </w:rPr>
              <w:t>选修课</w:t>
            </w:r>
          </w:p>
        </w:tc>
        <w:tc>
          <w:tcPr>
            <w:tcW w:w="337"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1</w:t>
            </w:r>
          </w:p>
        </w:tc>
        <w:tc>
          <w:tcPr>
            <w:tcW w:w="559"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cs="Times New Roman" w:asciiTheme="minorEastAsia" w:hAnsiTheme="minorEastAsia"/>
                <w:szCs w:val="21"/>
              </w:rPr>
              <w:t>152075</w:t>
            </w:r>
          </w:p>
        </w:tc>
        <w:tc>
          <w:tcPr>
            <w:tcW w:w="825"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BASM6117</w:t>
            </w:r>
            <w:r>
              <w:rPr>
                <w:rFonts w:hint="eastAsia" w:cs="Times New Roman" w:asciiTheme="minorEastAsia" w:hAnsiTheme="minorEastAsia"/>
                <w:szCs w:val="21"/>
              </w:rPr>
              <w:t>15</w:t>
            </w:r>
          </w:p>
        </w:tc>
        <w:tc>
          <w:tcPr>
            <w:tcW w:w="1448"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ascii="Times New Roman" w:hAnsi="Times New Roman" w:cs="Times New Roman"/>
                <w:szCs w:val="21"/>
              </w:rPr>
            </w:pPr>
            <w:r>
              <w:rPr>
                <w:rFonts w:ascii="Times New Roman" w:hAnsi="Times New Roman" w:cs="Times New Roman"/>
                <w:szCs w:val="21"/>
              </w:rPr>
              <w:t>医学科学研究导论</w:t>
            </w:r>
          </w:p>
        </w:tc>
        <w:tc>
          <w:tcPr>
            <w:tcW w:w="377"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768"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ascii="Times New Roman" w:hAnsi="Times New Roman" w:cs="Times New Roman"/>
                <w:szCs w:val="21"/>
              </w:rPr>
              <w:t>I类选修课</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eastAsia="宋体" w:cs="Times New Roman"/>
                <w:szCs w:val="21"/>
              </w:rPr>
            </w:pPr>
            <w:r>
              <w:rPr>
                <w:rFonts w:ascii="Times New Roman" w:hAnsi="Times New Roman" w:cs="Times New Roman"/>
                <w:szCs w:val="21"/>
              </w:rPr>
              <w:t>≥4学分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b/>
                <w:bCs/>
                <w:szCs w:val="21"/>
              </w:rPr>
            </w:pPr>
          </w:p>
        </w:tc>
        <w:tc>
          <w:tcPr>
            <w:tcW w:w="337"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59"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152184</w:t>
            </w:r>
          </w:p>
        </w:tc>
        <w:tc>
          <w:tcPr>
            <w:tcW w:w="825"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NURS6106</w:t>
            </w:r>
            <w:r>
              <w:rPr>
                <w:rFonts w:hint="eastAsia" w:cs="Times New Roman" w:asciiTheme="minorEastAsia" w:hAnsiTheme="minorEastAsia"/>
                <w:szCs w:val="21"/>
              </w:rPr>
              <w:t>15</w:t>
            </w:r>
          </w:p>
        </w:tc>
        <w:tc>
          <w:tcPr>
            <w:tcW w:w="1448"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ascii="Times New Roman" w:hAnsi="Times New Roman" w:cs="Times New Roman"/>
                <w:szCs w:val="21"/>
              </w:rPr>
            </w:pPr>
            <w:r>
              <w:rPr>
                <w:rFonts w:ascii="Times New Roman" w:hAnsi="Times New Roman" w:cs="Times New Roman"/>
                <w:szCs w:val="21"/>
              </w:rPr>
              <w:t>护理学发展前沿</w:t>
            </w:r>
          </w:p>
        </w:tc>
        <w:tc>
          <w:tcPr>
            <w:tcW w:w="377"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768"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b/>
                <w:bCs/>
                <w:szCs w:val="21"/>
              </w:rPr>
            </w:pPr>
          </w:p>
        </w:tc>
        <w:tc>
          <w:tcPr>
            <w:tcW w:w="337"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ascii="Times New Roman" w:hAnsi="Times New Roman" w:cs="Times New Roman"/>
                <w:szCs w:val="21"/>
              </w:rPr>
              <w:t>3</w:t>
            </w:r>
          </w:p>
        </w:tc>
        <w:tc>
          <w:tcPr>
            <w:tcW w:w="559"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152182</w:t>
            </w:r>
          </w:p>
        </w:tc>
        <w:tc>
          <w:tcPr>
            <w:tcW w:w="825"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NURS6502</w:t>
            </w:r>
            <w:r>
              <w:rPr>
                <w:rFonts w:hint="eastAsia" w:cs="Times New Roman" w:asciiTheme="minorEastAsia" w:hAnsiTheme="minorEastAsia"/>
                <w:szCs w:val="21"/>
              </w:rPr>
              <w:t>15</w:t>
            </w:r>
          </w:p>
        </w:tc>
        <w:tc>
          <w:tcPr>
            <w:tcW w:w="1448"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ascii="Times New Roman" w:hAnsi="Times New Roman" w:cs="Times New Roman"/>
                <w:szCs w:val="21"/>
              </w:rPr>
            </w:pPr>
            <w:r>
              <w:rPr>
                <w:rFonts w:ascii="Times New Roman" w:hAnsi="Times New Roman" w:cs="Times New Roman"/>
                <w:szCs w:val="21"/>
              </w:rPr>
              <w:t>循证护理学</w:t>
            </w:r>
          </w:p>
        </w:tc>
        <w:tc>
          <w:tcPr>
            <w:tcW w:w="377"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768"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b/>
                <w:bCs/>
                <w:szCs w:val="21"/>
              </w:rPr>
            </w:pPr>
          </w:p>
        </w:tc>
        <w:tc>
          <w:tcPr>
            <w:tcW w:w="337"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ascii="Times New Roman" w:hAnsi="Times New Roman" w:cs="Times New Roman"/>
                <w:szCs w:val="21"/>
              </w:rPr>
              <w:t>4</w:t>
            </w:r>
          </w:p>
        </w:tc>
        <w:tc>
          <w:tcPr>
            <w:tcW w:w="559"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cs="Times New Roman" w:asciiTheme="minorEastAsia" w:hAnsiTheme="minorEastAsia"/>
                <w:szCs w:val="21"/>
              </w:rPr>
              <w:t>152185</w:t>
            </w:r>
          </w:p>
        </w:tc>
        <w:tc>
          <w:tcPr>
            <w:tcW w:w="825"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NURS6107</w:t>
            </w:r>
            <w:r>
              <w:rPr>
                <w:rFonts w:hint="eastAsia" w:cs="Times New Roman" w:asciiTheme="minorEastAsia" w:hAnsiTheme="minorEastAsia"/>
                <w:szCs w:val="21"/>
              </w:rPr>
              <w:t>15</w:t>
            </w:r>
          </w:p>
        </w:tc>
        <w:tc>
          <w:tcPr>
            <w:tcW w:w="1448"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ascii="Times New Roman" w:hAnsi="Times New Roman" w:cs="Times New Roman"/>
                <w:szCs w:val="21"/>
              </w:rPr>
            </w:pPr>
            <w:r>
              <w:rPr>
                <w:rFonts w:ascii="Times New Roman" w:hAnsi="Times New Roman" w:cs="Times New Roman"/>
                <w:szCs w:val="21"/>
              </w:rPr>
              <w:t>护理哲理与理论构建</w:t>
            </w:r>
          </w:p>
        </w:tc>
        <w:tc>
          <w:tcPr>
            <w:tcW w:w="377"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768"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eastAsia="宋体" w:cs="宋体"/>
                <w:szCs w:val="21"/>
              </w:rPr>
            </w:pPr>
            <w:r>
              <w:rPr>
                <w:rFonts w:hint="eastAsia" w:ascii="宋体" w:hAnsi="宋体" w:eastAsia="宋体" w:cs="宋体"/>
                <w:szCs w:val="21"/>
              </w:rPr>
              <w:t>其他</w:t>
            </w:r>
            <w:r>
              <w:rPr>
                <w:rFonts w:ascii="宋体" w:hAnsi="宋体" w:eastAsia="宋体" w:cs="宋体"/>
                <w:szCs w:val="21"/>
              </w:rPr>
              <w:t>选修课</w:t>
            </w:r>
          </w:p>
        </w:tc>
        <w:tc>
          <w:tcPr>
            <w:tcW w:w="337"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1</w:t>
            </w:r>
          </w:p>
        </w:tc>
        <w:tc>
          <w:tcPr>
            <w:tcW w:w="559"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宋体" w:hAnsi="宋体" w:eastAsia="宋体" w:cs="Times New Roman"/>
                <w:szCs w:val="21"/>
              </w:rPr>
            </w:pPr>
            <w:r>
              <w:rPr>
                <w:rFonts w:hint="eastAsia" w:ascii="宋体" w:hAnsi="宋体" w:eastAsia="宋体" w:cs="Times New Roman"/>
                <w:szCs w:val="21"/>
              </w:rPr>
              <w:t>153044</w:t>
            </w:r>
          </w:p>
        </w:tc>
        <w:tc>
          <w:tcPr>
            <w:tcW w:w="825"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宋体" w:hAnsi="宋体" w:eastAsia="宋体" w:cs="Times New Roman"/>
                <w:szCs w:val="21"/>
              </w:rPr>
            </w:pPr>
            <w:r>
              <w:rPr>
                <w:rFonts w:ascii="宋体" w:hAnsi="宋体" w:eastAsia="宋体" w:cs="Times New Roman"/>
                <w:szCs w:val="21"/>
              </w:rPr>
              <w:t>BASM612615</w:t>
            </w:r>
          </w:p>
        </w:tc>
        <w:tc>
          <w:tcPr>
            <w:tcW w:w="1448"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textAlignment w:val="auto"/>
              <w:rPr>
                <w:rFonts w:ascii="Times New Roman" w:hAnsi="Times New Roman" w:eastAsia="宋体" w:cs="Times New Roman"/>
                <w:szCs w:val="21"/>
              </w:rPr>
            </w:pPr>
            <w:r>
              <w:rPr>
                <w:rFonts w:hint="eastAsia" w:ascii="Times New Roman" w:hAnsi="Times New Roman" w:eastAsia="宋体" w:cs="Times New Roman"/>
                <w:szCs w:val="21"/>
              </w:rPr>
              <w:t>研究生</w:t>
            </w:r>
            <w:r>
              <w:rPr>
                <w:rFonts w:ascii="Times New Roman" w:hAnsi="Times New Roman" w:eastAsia="宋体" w:cs="Times New Roman"/>
                <w:szCs w:val="21"/>
              </w:rPr>
              <w:t>论文写作</w:t>
            </w:r>
            <w:r>
              <w:rPr>
                <w:rFonts w:hint="eastAsia" w:ascii="Times New Roman" w:hAnsi="Times New Roman" w:eastAsia="宋体" w:cs="Times New Roman"/>
                <w:szCs w:val="21"/>
              </w:rPr>
              <w:t>指导（15）</w:t>
            </w:r>
          </w:p>
        </w:tc>
        <w:tc>
          <w:tcPr>
            <w:tcW w:w="377"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w:t>
            </w:r>
          </w:p>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（（必修）</w:t>
            </w:r>
          </w:p>
        </w:tc>
        <w:tc>
          <w:tcPr>
            <w:tcW w:w="768"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cs="Times New Roman"/>
                <w:szCs w:val="21"/>
              </w:rPr>
            </w:pPr>
            <w:r>
              <w:rPr>
                <w:rFonts w:ascii="Times New Roman" w:hAnsi="Times New Roman" w:cs="Times New Roman"/>
                <w:szCs w:val="21"/>
              </w:rPr>
              <w:t>II类选修</w:t>
            </w:r>
          </w:p>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eastAsia="宋体" w:cs="Times New Roman"/>
                <w:szCs w:val="21"/>
              </w:rPr>
            </w:pPr>
            <w:r>
              <w:rPr>
                <w:rFonts w:ascii="Times New Roman" w:hAnsi="Times New Roman" w:cs="Times New Roman"/>
                <w:szCs w:val="21"/>
              </w:rPr>
              <w:t>≥4学分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eastAsia="宋体" w:cs="宋体"/>
                <w:szCs w:val="21"/>
              </w:rPr>
            </w:pPr>
          </w:p>
        </w:tc>
        <w:tc>
          <w:tcPr>
            <w:tcW w:w="337"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59"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w:t>
            </w:r>
          </w:p>
        </w:tc>
        <w:tc>
          <w:tcPr>
            <w:tcW w:w="825"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w:t>
            </w:r>
          </w:p>
        </w:tc>
        <w:tc>
          <w:tcPr>
            <w:tcW w:w="1448"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ascii="Times New Roman" w:hAnsi="Times New Roman" w:cs="Times New Roman"/>
                <w:szCs w:val="21"/>
              </w:rPr>
            </w:pPr>
            <w:r>
              <w:rPr>
                <w:rFonts w:hint="eastAsia" w:ascii="Times New Roman" w:hAnsi="Times New Roman" w:cs="Times New Roman"/>
                <w:szCs w:val="21"/>
              </w:rPr>
              <w:t>在</w:t>
            </w:r>
            <w:r>
              <w:rPr>
                <w:rFonts w:ascii="Times New Roman" w:hAnsi="Times New Roman" w:cs="Times New Roman"/>
                <w:szCs w:val="21"/>
              </w:rPr>
              <w:t>通选课中至少选一门</w:t>
            </w:r>
          </w:p>
        </w:tc>
        <w:tc>
          <w:tcPr>
            <w:tcW w:w="377"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ascii="Times New Roman" w:hAnsi="Times New Roman" w:cs="Times New Roman"/>
                <w:szCs w:val="21"/>
              </w:rPr>
              <w:t>≥3</w:t>
            </w:r>
          </w:p>
        </w:tc>
        <w:tc>
          <w:tcPr>
            <w:tcW w:w="768"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ascii="宋体" w:hAnsi="宋体" w:eastAsia="宋体" w:cs="宋体"/>
                <w:szCs w:val="21"/>
              </w:rPr>
            </w:pPr>
          </w:p>
        </w:tc>
        <w:tc>
          <w:tcPr>
            <w:tcW w:w="337"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3</w:t>
            </w:r>
          </w:p>
        </w:tc>
        <w:tc>
          <w:tcPr>
            <w:tcW w:w="559"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w:t>
            </w:r>
          </w:p>
        </w:tc>
        <w:tc>
          <w:tcPr>
            <w:tcW w:w="825"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w:t>
            </w:r>
          </w:p>
        </w:tc>
        <w:tc>
          <w:tcPr>
            <w:tcW w:w="1448" w:type="pc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ascii="Times New Roman" w:hAnsi="Times New Roman" w:cs="Times New Roman"/>
                <w:szCs w:val="21"/>
              </w:rPr>
            </w:pPr>
            <w:r>
              <w:rPr>
                <w:rFonts w:ascii="Times New Roman" w:hAnsi="Times New Roman" w:eastAsia="宋体" w:cs="Times New Roman"/>
                <w:szCs w:val="21"/>
              </w:rPr>
              <w:t>研究生课程目录上选修</w:t>
            </w:r>
          </w:p>
        </w:tc>
        <w:tc>
          <w:tcPr>
            <w:tcW w:w="377"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p>
        </w:tc>
        <w:tc>
          <w:tcPr>
            <w:tcW w:w="768"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pacing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宋体" w:hAnsi="宋体" w:eastAsia="宋体" w:cs="宋体"/>
                <w:szCs w:val="21"/>
              </w:rPr>
            </w:pPr>
            <w:r>
              <w:rPr>
                <w:rFonts w:hint="eastAsia" w:ascii="宋体" w:hAnsi="宋体" w:eastAsia="宋体" w:cs="宋体"/>
                <w:szCs w:val="21"/>
              </w:rPr>
              <w:t>必修</w:t>
            </w:r>
            <w:r>
              <w:rPr>
                <w:rFonts w:ascii="宋体" w:hAnsi="宋体" w:eastAsia="宋体" w:cs="宋体"/>
                <w:szCs w:val="21"/>
              </w:rPr>
              <w:t>环节</w:t>
            </w:r>
          </w:p>
        </w:tc>
        <w:tc>
          <w:tcPr>
            <w:tcW w:w="337"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559"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001999</w:t>
            </w:r>
          </w:p>
        </w:tc>
        <w:tc>
          <w:tcPr>
            <w:tcW w:w="825"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BXHJ8003</w:t>
            </w:r>
            <w:r>
              <w:rPr>
                <w:rFonts w:hint="eastAsia" w:cs="Times New Roman" w:asciiTheme="minorEastAsia" w:hAnsiTheme="minorEastAsia"/>
                <w:szCs w:val="21"/>
              </w:rPr>
              <w:t>99</w:t>
            </w:r>
          </w:p>
        </w:tc>
        <w:tc>
          <w:tcPr>
            <w:tcW w:w="1448" w:type="pct"/>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ascii="Times New Roman" w:hAnsi="Times New Roman" w:cs="Times New Roman"/>
                <w:szCs w:val="21"/>
              </w:rPr>
            </w:pPr>
            <w:r>
              <w:rPr>
                <w:rFonts w:ascii="Times New Roman" w:hAnsi="Times New Roman" w:cs="Times New Roman"/>
                <w:szCs w:val="21"/>
              </w:rPr>
              <w:t>学术活动（讲座）博</w:t>
            </w:r>
          </w:p>
        </w:tc>
        <w:tc>
          <w:tcPr>
            <w:tcW w:w="377"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textAlignment w:val="auto"/>
              <w:rPr>
                <w:rFonts w:ascii="Times New Roman" w:hAnsi="Times New Roman" w:cs="Times New Roman"/>
                <w:szCs w:val="21"/>
              </w:rPr>
            </w:pPr>
            <w:r>
              <w:rPr>
                <w:rFonts w:ascii="Times New Roman" w:hAnsi="Times New Roman" w:cs="Times New Roman"/>
                <w:szCs w:val="21"/>
              </w:rPr>
              <w:t>2（硕1）</w:t>
            </w:r>
          </w:p>
        </w:tc>
        <w:tc>
          <w:tcPr>
            <w:tcW w:w="768" w:type="pct"/>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17学分</w:t>
            </w:r>
          </w:p>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b/>
                <w:bCs/>
                <w:szCs w:val="21"/>
              </w:rPr>
            </w:pPr>
          </w:p>
        </w:tc>
        <w:tc>
          <w:tcPr>
            <w:tcW w:w="337"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559"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001987</w:t>
            </w:r>
          </w:p>
        </w:tc>
        <w:tc>
          <w:tcPr>
            <w:tcW w:w="825"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BXHJ6006</w:t>
            </w:r>
            <w:r>
              <w:rPr>
                <w:rFonts w:hint="eastAsia" w:cs="Times New Roman" w:asciiTheme="minorEastAsia" w:hAnsiTheme="minorEastAsia"/>
                <w:szCs w:val="21"/>
              </w:rPr>
              <w:t>99</w:t>
            </w:r>
          </w:p>
        </w:tc>
        <w:tc>
          <w:tcPr>
            <w:tcW w:w="1448" w:type="pct"/>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ascii="Times New Roman" w:hAnsi="Times New Roman" w:cs="Times New Roman"/>
                <w:szCs w:val="21"/>
              </w:rPr>
            </w:pPr>
            <w:r>
              <w:rPr>
                <w:rFonts w:ascii="Times New Roman" w:hAnsi="Times New Roman" w:cs="Times New Roman"/>
                <w:szCs w:val="21"/>
              </w:rPr>
              <w:t>社会实践</w:t>
            </w:r>
          </w:p>
        </w:tc>
        <w:tc>
          <w:tcPr>
            <w:tcW w:w="377"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textAlignment w:val="auto"/>
              <w:rPr>
                <w:rFonts w:ascii="Times New Roman" w:hAnsi="Times New Roman" w:cs="Times New Roman"/>
                <w:szCs w:val="21"/>
              </w:rPr>
            </w:pPr>
            <w:r>
              <w:rPr>
                <w:rFonts w:ascii="Times New Roman" w:hAnsi="Times New Roman" w:cs="Times New Roman"/>
                <w:szCs w:val="21"/>
              </w:rPr>
              <w:t>1（硕1）</w:t>
            </w:r>
          </w:p>
        </w:tc>
        <w:tc>
          <w:tcPr>
            <w:tcW w:w="768"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b/>
                <w:bCs/>
                <w:szCs w:val="21"/>
              </w:rPr>
            </w:pPr>
          </w:p>
        </w:tc>
        <w:tc>
          <w:tcPr>
            <w:tcW w:w="337"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cs="Times New Roman"/>
                <w:szCs w:val="21"/>
              </w:rPr>
            </w:pPr>
            <w:r>
              <w:rPr>
                <w:rFonts w:ascii="Times New Roman" w:hAnsi="Times New Roman" w:cs="Times New Roman"/>
                <w:szCs w:val="21"/>
              </w:rPr>
              <w:t>3</w:t>
            </w:r>
          </w:p>
        </w:tc>
        <w:tc>
          <w:tcPr>
            <w:tcW w:w="559"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001972</w:t>
            </w:r>
          </w:p>
        </w:tc>
        <w:tc>
          <w:tcPr>
            <w:tcW w:w="825"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BXHJ8007</w:t>
            </w:r>
            <w:r>
              <w:rPr>
                <w:rFonts w:hint="eastAsia" w:cs="Times New Roman" w:asciiTheme="minorEastAsia" w:hAnsiTheme="minorEastAsia"/>
                <w:szCs w:val="21"/>
              </w:rPr>
              <w:t>99</w:t>
            </w:r>
          </w:p>
        </w:tc>
        <w:tc>
          <w:tcPr>
            <w:tcW w:w="1448" w:type="pct"/>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ascii="Times New Roman" w:hAnsi="Times New Roman" w:cs="Times New Roman"/>
                <w:szCs w:val="21"/>
              </w:rPr>
            </w:pPr>
            <w:r>
              <w:rPr>
                <w:rFonts w:ascii="Times New Roman" w:hAnsi="Times New Roman" w:cs="Times New Roman"/>
                <w:szCs w:val="21"/>
              </w:rPr>
              <w:t>两助一辅</w:t>
            </w:r>
          </w:p>
        </w:tc>
        <w:tc>
          <w:tcPr>
            <w:tcW w:w="377"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768"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b/>
                <w:bCs/>
                <w:szCs w:val="21"/>
              </w:rPr>
            </w:pPr>
          </w:p>
        </w:tc>
        <w:tc>
          <w:tcPr>
            <w:tcW w:w="337"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cs="Times New Roman"/>
                <w:szCs w:val="21"/>
              </w:rPr>
            </w:pPr>
            <w:r>
              <w:rPr>
                <w:rFonts w:ascii="Times New Roman" w:hAnsi="Times New Roman" w:cs="Times New Roman"/>
                <w:szCs w:val="21"/>
              </w:rPr>
              <w:t>4</w:t>
            </w:r>
          </w:p>
        </w:tc>
        <w:tc>
          <w:tcPr>
            <w:tcW w:w="559"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001995</w:t>
            </w:r>
          </w:p>
        </w:tc>
        <w:tc>
          <w:tcPr>
            <w:tcW w:w="825"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BXHJ8002</w:t>
            </w:r>
            <w:r>
              <w:rPr>
                <w:rFonts w:hint="eastAsia" w:cs="Times New Roman" w:asciiTheme="minorEastAsia" w:hAnsiTheme="minorEastAsia"/>
                <w:szCs w:val="21"/>
              </w:rPr>
              <w:t>99</w:t>
            </w:r>
          </w:p>
        </w:tc>
        <w:tc>
          <w:tcPr>
            <w:tcW w:w="1448" w:type="pct"/>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ascii="Times New Roman" w:hAnsi="Times New Roman" w:cs="Times New Roman"/>
                <w:szCs w:val="21"/>
              </w:rPr>
            </w:pPr>
            <w:r>
              <w:rPr>
                <w:rFonts w:ascii="Times New Roman" w:hAnsi="Times New Roman" w:cs="Times New Roman"/>
                <w:szCs w:val="21"/>
              </w:rPr>
              <w:t>基金撰写</w:t>
            </w:r>
          </w:p>
        </w:tc>
        <w:tc>
          <w:tcPr>
            <w:tcW w:w="377"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768"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b/>
                <w:bCs/>
                <w:szCs w:val="21"/>
              </w:rPr>
            </w:pPr>
          </w:p>
        </w:tc>
        <w:tc>
          <w:tcPr>
            <w:tcW w:w="337"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cs="Times New Roman"/>
                <w:szCs w:val="21"/>
              </w:rPr>
            </w:pPr>
            <w:r>
              <w:rPr>
                <w:rFonts w:ascii="Times New Roman" w:hAnsi="Times New Roman" w:cs="Times New Roman"/>
                <w:szCs w:val="21"/>
              </w:rPr>
              <w:t>5</w:t>
            </w:r>
          </w:p>
        </w:tc>
        <w:tc>
          <w:tcPr>
            <w:tcW w:w="559"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001970</w:t>
            </w:r>
          </w:p>
        </w:tc>
        <w:tc>
          <w:tcPr>
            <w:tcW w:w="825"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BXHJ8009</w:t>
            </w:r>
            <w:r>
              <w:rPr>
                <w:rFonts w:hint="eastAsia" w:cs="Times New Roman" w:asciiTheme="minorEastAsia" w:hAnsiTheme="minorEastAsia"/>
                <w:szCs w:val="21"/>
              </w:rPr>
              <w:t>99</w:t>
            </w:r>
          </w:p>
        </w:tc>
        <w:tc>
          <w:tcPr>
            <w:tcW w:w="1448" w:type="pct"/>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ascii="Times New Roman" w:hAnsi="Times New Roman" w:cs="Times New Roman"/>
                <w:szCs w:val="21"/>
              </w:rPr>
            </w:pPr>
            <w:r>
              <w:rPr>
                <w:rFonts w:ascii="Times New Roman" w:hAnsi="Times New Roman" w:cs="Times New Roman"/>
                <w:szCs w:val="21"/>
              </w:rPr>
              <w:t>国际化交流</w:t>
            </w:r>
          </w:p>
        </w:tc>
        <w:tc>
          <w:tcPr>
            <w:tcW w:w="377"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cs="Times New Roman"/>
                <w:szCs w:val="21"/>
              </w:rPr>
            </w:pPr>
            <w:r>
              <w:rPr>
                <w:rFonts w:ascii="Times New Roman" w:hAnsi="Times New Roman" w:cs="Times New Roman"/>
                <w:szCs w:val="21"/>
              </w:rPr>
              <w:t>1</w:t>
            </w:r>
          </w:p>
        </w:tc>
        <w:tc>
          <w:tcPr>
            <w:tcW w:w="768"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b/>
                <w:bCs/>
                <w:szCs w:val="21"/>
              </w:rPr>
            </w:pPr>
          </w:p>
        </w:tc>
        <w:tc>
          <w:tcPr>
            <w:tcW w:w="337"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cs="Times New Roman"/>
                <w:szCs w:val="21"/>
              </w:rPr>
            </w:pPr>
            <w:r>
              <w:rPr>
                <w:rFonts w:ascii="Times New Roman" w:hAnsi="Times New Roman" w:cs="Times New Roman"/>
                <w:szCs w:val="21"/>
              </w:rPr>
              <w:t>6</w:t>
            </w:r>
          </w:p>
        </w:tc>
        <w:tc>
          <w:tcPr>
            <w:tcW w:w="559"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cs="Times New Roman"/>
                <w:szCs w:val="21"/>
              </w:rPr>
            </w:pPr>
            <w:r>
              <w:rPr>
                <w:rFonts w:cs="Times New Roman" w:asciiTheme="minorEastAsia" w:hAnsiTheme="minorEastAsia"/>
                <w:szCs w:val="21"/>
              </w:rPr>
              <w:t>001986</w:t>
            </w:r>
          </w:p>
        </w:tc>
        <w:tc>
          <w:tcPr>
            <w:tcW w:w="825"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BXHJ8004</w:t>
            </w:r>
            <w:r>
              <w:rPr>
                <w:rFonts w:hint="eastAsia" w:cs="Times New Roman" w:asciiTheme="minorEastAsia" w:hAnsiTheme="minorEastAsia"/>
                <w:szCs w:val="21"/>
              </w:rPr>
              <w:t>99</w:t>
            </w:r>
          </w:p>
        </w:tc>
        <w:tc>
          <w:tcPr>
            <w:tcW w:w="1448" w:type="pct"/>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ascii="Times New Roman" w:hAnsi="Times New Roman" w:cs="Times New Roman"/>
                <w:szCs w:val="21"/>
              </w:rPr>
            </w:pPr>
            <w:r>
              <w:rPr>
                <w:rFonts w:ascii="Times New Roman" w:hAnsi="Times New Roman" w:cs="Times New Roman"/>
                <w:szCs w:val="21"/>
              </w:rPr>
              <w:t>开题报告（博）</w:t>
            </w:r>
          </w:p>
        </w:tc>
        <w:tc>
          <w:tcPr>
            <w:tcW w:w="377"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cs="Times New Roman"/>
                <w:szCs w:val="21"/>
              </w:rPr>
            </w:pPr>
            <w:r>
              <w:rPr>
                <w:rFonts w:ascii="Times New Roman" w:hAnsi="Times New Roman" w:cs="Times New Roman"/>
                <w:szCs w:val="21"/>
              </w:rPr>
              <w:t>2（硕1）</w:t>
            </w:r>
          </w:p>
        </w:tc>
        <w:tc>
          <w:tcPr>
            <w:tcW w:w="768"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b/>
                <w:bCs/>
                <w:szCs w:val="21"/>
              </w:rPr>
            </w:pPr>
          </w:p>
        </w:tc>
        <w:tc>
          <w:tcPr>
            <w:tcW w:w="337"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cs="Times New Roman"/>
                <w:szCs w:val="21"/>
              </w:rPr>
            </w:pPr>
            <w:r>
              <w:rPr>
                <w:rFonts w:ascii="Times New Roman" w:hAnsi="Times New Roman" w:cs="Times New Roman"/>
                <w:szCs w:val="21"/>
              </w:rPr>
              <w:t>7</w:t>
            </w:r>
          </w:p>
        </w:tc>
        <w:tc>
          <w:tcPr>
            <w:tcW w:w="559"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001994</w:t>
            </w:r>
          </w:p>
        </w:tc>
        <w:tc>
          <w:tcPr>
            <w:tcW w:w="825"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BXHJ8001</w:t>
            </w:r>
            <w:r>
              <w:rPr>
                <w:rFonts w:hint="eastAsia" w:cs="Times New Roman" w:asciiTheme="minorEastAsia" w:hAnsiTheme="minorEastAsia"/>
                <w:szCs w:val="21"/>
              </w:rPr>
              <w:t>99</w:t>
            </w:r>
          </w:p>
        </w:tc>
        <w:tc>
          <w:tcPr>
            <w:tcW w:w="1448" w:type="pct"/>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ascii="Times New Roman" w:hAnsi="Times New Roman" w:cs="Times New Roman"/>
                <w:szCs w:val="21"/>
              </w:rPr>
            </w:pPr>
            <w:r>
              <w:rPr>
                <w:rFonts w:ascii="Times New Roman" w:hAnsi="Times New Roman" w:cs="Times New Roman"/>
                <w:szCs w:val="21"/>
              </w:rPr>
              <w:t>中期考核（博）</w:t>
            </w:r>
          </w:p>
        </w:tc>
        <w:tc>
          <w:tcPr>
            <w:tcW w:w="377"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textAlignment w:val="auto"/>
              <w:rPr>
                <w:rFonts w:ascii="Times New Roman" w:hAnsi="Times New Roman" w:cs="Times New Roman"/>
                <w:szCs w:val="21"/>
              </w:rPr>
            </w:pPr>
            <w:r>
              <w:rPr>
                <w:rFonts w:ascii="Times New Roman" w:hAnsi="Times New Roman" w:cs="Times New Roman"/>
                <w:szCs w:val="21"/>
              </w:rPr>
              <w:t>6（硕3）</w:t>
            </w:r>
          </w:p>
        </w:tc>
        <w:tc>
          <w:tcPr>
            <w:tcW w:w="768"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b/>
                <w:bCs/>
                <w:szCs w:val="21"/>
              </w:rPr>
            </w:pPr>
          </w:p>
        </w:tc>
        <w:tc>
          <w:tcPr>
            <w:tcW w:w="337"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cs="Times New Roman"/>
                <w:szCs w:val="21"/>
              </w:rPr>
            </w:pPr>
            <w:r>
              <w:rPr>
                <w:rFonts w:ascii="Times New Roman" w:hAnsi="Times New Roman" w:cs="Times New Roman"/>
                <w:szCs w:val="21"/>
              </w:rPr>
              <w:t>8</w:t>
            </w:r>
          </w:p>
        </w:tc>
        <w:tc>
          <w:tcPr>
            <w:tcW w:w="559"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001971</w:t>
            </w:r>
          </w:p>
        </w:tc>
        <w:tc>
          <w:tcPr>
            <w:tcW w:w="825"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cs="Times New Roman" w:asciiTheme="minorEastAsia" w:hAnsiTheme="minorEastAsia"/>
                <w:szCs w:val="21"/>
              </w:rPr>
            </w:pPr>
            <w:r>
              <w:rPr>
                <w:rFonts w:cs="Times New Roman" w:asciiTheme="minorEastAsia" w:hAnsiTheme="minorEastAsia"/>
                <w:szCs w:val="21"/>
              </w:rPr>
              <w:t>INFT600499</w:t>
            </w:r>
          </w:p>
        </w:tc>
        <w:tc>
          <w:tcPr>
            <w:tcW w:w="1448" w:type="pct"/>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ascii="Times New Roman" w:hAnsi="Times New Roman" w:cs="Times New Roman"/>
                <w:szCs w:val="21"/>
              </w:rPr>
            </w:pPr>
            <w:r>
              <w:rPr>
                <w:rFonts w:ascii="Times New Roman" w:hAnsi="Times New Roman" w:cs="Times New Roman"/>
                <w:szCs w:val="21"/>
              </w:rPr>
              <w:t>文献阅读</w:t>
            </w:r>
          </w:p>
        </w:tc>
        <w:tc>
          <w:tcPr>
            <w:tcW w:w="377" w:type="pct"/>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cs="Times New Roman"/>
                <w:szCs w:val="21"/>
              </w:rPr>
            </w:pPr>
            <w:r>
              <w:rPr>
                <w:rFonts w:ascii="Times New Roman" w:hAnsi="Times New Roman" w:cs="Times New Roman"/>
                <w:szCs w:val="21"/>
              </w:rPr>
              <w:t>2</w:t>
            </w:r>
          </w:p>
        </w:tc>
        <w:tc>
          <w:tcPr>
            <w:tcW w:w="768"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b/>
                <w:bCs/>
                <w:szCs w:val="21"/>
              </w:rPr>
            </w:pPr>
          </w:p>
        </w:tc>
        <w:tc>
          <w:tcPr>
            <w:tcW w:w="337"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9</w:t>
            </w:r>
          </w:p>
        </w:tc>
        <w:tc>
          <w:tcPr>
            <w:tcW w:w="559"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001954</w:t>
            </w:r>
          </w:p>
        </w:tc>
        <w:tc>
          <w:tcPr>
            <w:tcW w:w="825"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B</w:t>
            </w:r>
            <w:r>
              <w:rPr>
                <w:rFonts w:cs="Times New Roman" w:asciiTheme="minorEastAsia" w:hAnsiTheme="minorEastAsia"/>
                <w:szCs w:val="21"/>
              </w:rPr>
              <w:t>XHJ602499</w:t>
            </w:r>
          </w:p>
        </w:tc>
        <w:tc>
          <w:tcPr>
            <w:tcW w:w="1448" w:type="pct"/>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ascii="Times New Roman" w:hAnsi="Times New Roman" w:cs="Times New Roman"/>
                <w:szCs w:val="21"/>
              </w:rPr>
            </w:pPr>
            <w:r>
              <w:rPr>
                <w:rFonts w:hint="eastAsia" w:cs="Times New Roman" w:asciiTheme="minorEastAsia" w:hAnsiTheme="minorEastAsia"/>
                <w:szCs w:val="21"/>
              </w:rPr>
              <w:t>劳动教育</w:t>
            </w:r>
          </w:p>
        </w:tc>
        <w:tc>
          <w:tcPr>
            <w:tcW w:w="377" w:type="pct"/>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0</w:t>
            </w:r>
          </w:p>
        </w:tc>
        <w:tc>
          <w:tcPr>
            <w:tcW w:w="768"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b/>
                <w:bCs/>
                <w:szCs w:val="21"/>
              </w:rPr>
            </w:pPr>
          </w:p>
        </w:tc>
        <w:tc>
          <w:tcPr>
            <w:tcW w:w="337"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10</w:t>
            </w:r>
          </w:p>
        </w:tc>
        <w:tc>
          <w:tcPr>
            <w:tcW w:w="559"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001955</w:t>
            </w:r>
          </w:p>
        </w:tc>
        <w:tc>
          <w:tcPr>
            <w:tcW w:w="825"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B</w:t>
            </w:r>
            <w:r>
              <w:rPr>
                <w:rFonts w:cs="Times New Roman" w:asciiTheme="minorEastAsia" w:hAnsiTheme="minorEastAsia"/>
                <w:szCs w:val="21"/>
              </w:rPr>
              <w:t>XHJ602399</w:t>
            </w:r>
          </w:p>
        </w:tc>
        <w:tc>
          <w:tcPr>
            <w:tcW w:w="1448" w:type="pct"/>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cs="Times New Roman" w:asciiTheme="minorEastAsia" w:hAnsiTheme="minorEastAsia"/>
                <w:szCs w:val="21"/>
              </w:rPr>
            </w:pPr>
            <w:r>
              <w:rPr>
                <w:rFonts w:hint="eastAsia" w:cs="Times New Roman" w:asciiTheme="minorEastAsia" w:hAnsiTheme="minorEastAsia"/>
                <w:szCs w:val="21"/>
              </w:rPr>
              <w:t>美育</w:t>
            </w:r>
          </w:p>
        </w:tc>
        <w:tc>
          <w:tcPr>
            <w:tcW w:w="377" w:type="pct"/>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0</w:t>
            </w:r>
          </w:p>
        </w:tc>
        <w:tc>
          <w:tcPr>
            <w:tcW w:w="768"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3"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b/>
                <w:bCs/>
                <w:szCs w:val="21"/>
              </w:rPr>
            </w:pPr>
          </w:p>
        </w:tc>
        <w:tc>
          <w:tcPr>
            <w:tcW w:w="337"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11</w:t>
            </w:r>
          </w:p>
        </w:tc>
        <w:tc>
          <w:tcPr>
            <w:tcW w:w="559"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001956</w:t>
            </w:r>
          </w:p>
        </w:tc>
        <w:tc>
          <w:tcPr>
            <w:tcW w:w="825" w:type="pct"/>
            <w:tcMar>
              <w:left w:w="57" w:type="dxa"/>
              <w:right w:w="57" w:type="dxa"/>
            </w:tcMar>
            <w:vAlign w:val="center"/>
          </w:tcPr>
          <w:p>
            <w:pPr>
              <w:keepNext w:val="0"/>
              <w:keepLines w:val="0"/>
              <w:pageBreakBefore w:val="0"/>
              <w:kinsoku/>
              <w:wordWrap/>
              <w:overflowPunct/>
              <w:topLinePunct w:val="0"/>
              <w:autoSpaceDE/>
              <w:autoSpaceDN/>
              <w:bidi w:val="0"/>
              <w:adjustRightInd/>
              <w:spacing w:line="240" w:lineRule="auto"/>
              <w:jc w:val="center"/>
              <w:textAlignment w:val="auto"/>
              <w:rPr>
                <w:rFonts w:cs="Times New Roman" w:asciiTheme="minorEastAsia" w:hAnsiTheme="minorEastAsia"/>
                <w:szCs w:val="21"/>
              </w:rPr>
            </w:pPr>
            <w:r>
              <w:rPr>
                <w:rFonts w:hint="eastAsia" w:cs="Times New Roman" w:asciiTheme="minorEastAsia" w:hAnsiTheme="minorEastAsia"/>
                <w:szCs w:val="21"/>
              </w:rPr>
              <w:t>B</w:t>
            </w:r>
            <w:r>
              <w:rPr>
                <w:rFonts w:cs="Times New Roman" w:asciiTheme="minorEastAsia" w:hAnsiTheme="minorEastAsia"/>
                <w:szCs w:val="21"/>
              </w:rPr>
              <w:t>XHJ602299</w:t>
            </w:r>
          </w:p>
        </w:tc>
        <w:tc>
          <w:tcPr>
            <w:tcW w:w="1448" w:type="pct"/>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240" w:lineRule="auto"/>
              <w:jc w:val="left"/>
              <w:textAlignment w:val="auto"/>
              <w:rPr>
                <w:rFonts w:cs="Times New Roman" w:asciiTheme="minorEastAsia" w:hAnsiTheme="minorEastAsia"/>
                <w:szCs w:val="21"/>
              </w:rPr>
            </w:pPr>
            <w:r>
              <w:rPr>
                <w:rFonts w:hint="eastAsia" w:cs="Times New Roman" w:asciiTheme="minorEastAsia" w:hAnsiTheme="minorEastAsia"/>
                <w:szCs w:val="21"/>
              </w:rPr>
              <w:t>体育</w:t>
            </w:r>
          </w:p>
        </w:tc>
        <w:tc>
          <w:tcPr>
            <w:tcW w:w="377" w:type="pct"/>
            <w:tcMar>
              <w:left w:w="57" w:type="dxa"/>
              <w:right w:w="57"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ascii="Times New Roman" w:hAnsi="Times New Roman" w:cs="Times New Roman"/>
                <w:szCs w:val="21"/>
              </w:rPr>
            </w:pPr>
            <w:r>
              <w:rPr>
                <w:rFonts w:hint="eastAsia" w:ascii="Times New Roman" w:hAnsi="Times New Roman" w:cs="Times New Roman"/>
                <w:szCs w:val="21"/>
              </w:rPr>
              <w:t>0</w:t>
            </w:r>
          </w:p>
        </w:tc>
        <w:tc>
          <w:tcPr>
            <w:tcW w:w="768" w:type="pct"/>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val="0"/>
              <w:spacing w:line="240" w:lineRule="auto"/>
              <w:jc w:val="center"/>
              <w:textAlignment w:val="auto"/>
              <w:rPr>
                <w:rFonts w:ascii="Times New Roman" w:hAnsi="Times New Roman" w:cs="Times New Roman"/>
                <w:szCs w:val="21"/>
              </w:rPr>
            </w:pPr>
          </w:p>
        </w:tc>
      </w:tr>
      <w:bookmarkEnd w:id="49"/>
    </w:tbl>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bookmarkStart w:id="515" w:name="_Toc327973320"/>
      <w:bookmarkStart w:id="516" w:name="_Toc278294914"/>
      <w:bookmarkStart w:id="517" w:name="_Toc45890746"/>
      <w:bookmarkStart w:id="518" w:name="_Toc12440057"/>
      <w:bookmarkStart w:id="519" w:name="_Toc422409400"/>
      <w:bookmarkStart w:id="520" w:name="_Toc487802534"/>
      <w:bookmarkStart w:id="521" w:name="_Toc520822697"/>
      <w:r>
        <w:rPr>
          <w:rFonts w:ascii="黑体" w:hAnsi="黑体" w:eastAsia="黑体"/>
          <w:sz w:val="24"/>
          <w:szCs w:val="24"/>
        </w:rPr>
        <w:t>六、</w:t>
      </w:r>
      <w:r>
        <w:rPr>
          <w:rFonts w:hint="eastAsia" w:ascii="黑体" w:hAnsi="黑体" w:eastAsia="黑体"/>
          <w:sz w:val="24"/>
          <w:szCs w:val="24"/>
        </w:rPr>
        <w:t>必修</w:t>
      </w:r>
      <w:r>
        <w:rPr>
          <w:rFonts w:ascii="黑体" w:hAnsi="黑体" w:eastAsia="黑体"/>
          <w:sz w:val="24"/>
          <w:szCs w:val="24"/>
        </w:rPr>
        <w:t>环节</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．学</w:t>
      </w:r>
      <w:r>
        <w:rPr>
          <w:rFonts w:ascii="Times New Roman" w:hAnsi="Times New Roman" w:eastAsia="宋体" w:cs="Times New Roman"/>
          <w:b/>
          <w:bCs/>
          <w:szCs w:val="21"/>
        </w:rPr>
        <w:t>术活动（讲座）</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硕博贯通</w:t>
      </w:r>
      <w:r>
        <w:rPr>
          <w:rFonts w:ascii="Times New Roman" w:hAnsi="Times New Roman" w:eastAsia="宋体" w:cs="Times New Roman"/>
          <w:szCs w:val="21"/>
        </w:rPr>
        <w:t>研究生学术活动（讲座）分为必听讲座和选听讲座。必听讲座为</w:t>
      </w:r>
      <w:r>
        <w:rPr>
          <w:rFonts w:cs="Times New Roman" w:asciiTheme="minorEastAsia" w:hAnsiTheme="minorEastAsia"/>
          <w:szCs w:val="21"/>
        </w:rPr>
        <w:t>“科学道德与学风建设”</w:t>
      </w:r>
      <w:r>
        <w:rPr>
          <w:rFonts w:ascii="Times New Roman" w:hAnsi="Times New Roman" w:eastAsia="宋体" w:cs="Times New Roman"/>
          <w:szCs w:val="21"/>
        </w:rPr>
        <w:t>；选听讲座包括与学科紧密相关</w:t>
      </w:r>
      <w:r>
        <w:rPr>
          <w:rFonts w:cs="Times New Roman" w:asciiTheme="minorEastAsia" w:hAnsiTheme="minorEastAsia"/>
          <w:szCs w:val="21"/>
        </w:rPr>
        <w:t>的“学</w:t>
      </w:r>
      <w:r>
        <w:rPr>
          <w:rFonts w:ascii="Times New Roman" w:hAnsi="Times New Roman" w:eastAsia="宋体" w:cs="Times New Roman"/>
          <w:szCs w:val="21"/>
        </w:rPr>
        <w:t>科前沿系列专题</w:t>
      </w:r>
      <w:r>
        <w:rPr>
          <w:rFonts w:cs="Times New Roman" w:asciiTheme="minorEastAsia" w:hAnsiTheme="minorEastAsia"/>
          <w:szCs w:val="21"/>
        </w:rPr>
        <w:t>讲座”（</w:t>
      </w:r>
      <w:r>
        <w:rPr>
          <w:rFonts w:ascii="Times New Roman" w:hAnsi="Times New Roman" w:eastAsia="宋体" w:cs="Times New Roman"/>
          <w:szCs w:val="21"/>
        </w:rPr>
        <w:t>由各二级学科组织若干教授对本学科前沿知识进行讲座，每个讲座由5个以上讲座组成）一个系列和在全校范围内选听</w:t>
      </w:r>
      <w:r>
        <w:rPr>
          <w:rFonts w:cs="Times New Roman" w:asciiTheme="minorEastAsia" w:hAnsiTheme="minorEastAsia"/>
          <w:szCs w:val="21"/>
        </w:rPr>
        <w:t>“学术讲座”</w:t>
      </w:r>
      <w:r>
        <w:rPr>
          <w:rFonts w:ascii="Times New Roman" w:hAnsi="Times New Roman" w:eastAsia="宋体" w:cs="Times New Roman"/>
          <w:szCs w:val="21"/>
        </w:rPr>
        <w:t>1次，自己公开讲座1次，完成后记2学分</w:t>
      </w:r>
      <w:r>
        <w:rPr>
          <w:rFonts w:hint="eastAsia" w:ascii="Times New Roman" w:hAnsi="Times New Roman" w:eastAsia="宋体" w:cs="Times New Roman"/>
          <w:szCs w:val="21"/>
        </w:rPr>
        <w:t>。</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w:t>
      </w:r>
      <w:r>
        <w:rPr>
          <w:rFonts w:ascii="Times New Roman" w:hAnsi="Times New Roman" w:eastAsia="宋体" w:cs="Times New Roman"/>
          <w:b/>
          <w:bCs/>
          <w:szCs w:val="21"/>
        </w:rPr>
        <w:t>社会实践</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w:t>
      </w:r>
      <w:r>
        <w:rPr>
          <w:rFonts w:cs="Times New Roman" w:asciiTheme="minorEastAsia" w:hAnsiTheme="minorEastAsia"/>
          <w:szCs w:val="21"/>
        </w:rPr>
        <w:t>社会实践</w:t>
      </w:r>
      <w:r>
        <w:rPr>
          <w:rFonts w:hint="eastAsia" w:cs="Times New Roman" w:asciiTheme="minorEastAsia" w:hAnsiTheme="minorEastAsia"/>
          <w:szCs w:val="21"/>
        </w:rPr>
        <w:t>”</w:t>
      </w:r>
      <w:r>
        <w:rPr>
          <w:rFonts w:cs="Times New Roman" w:asciiTheme="minorEastAsia" w:hAnsiTheme="minorEastAsia"/>
          <w:szCs w:val="21"/>
        </w:rPr>
        <w:t>是指研究生在校学习期间，除完成本学科规定的业务实践外，接触社会、了解社会、服务社会的实践活动。</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可以通过组织和参与社会调查、支教、扶贫及其他志愿者服务等方式进行，提倡以小组或团队形式开展活动，累计不少于</w:t>
      </w:r>
      <w:r>
        <w:rPr>
          <w:rFonts w:ascii="Times New Roman" w:hAnsi="Times New Roman" w:cs="Times New Roman"/>
          <w:szCs w:val="21"/>
        </w:rPr>
        <w:t>10</w:t>
      </w:r>
      <w:r>
        <w:rPr>
          <w:rFonts w:cs="Times New Roman" w:asciiTheme="minorEastAsia" w:hAnsiTheme="minorEastAsia"/>
          <w:szCs w:val="21"/>
        </w:rPr>
        <w:t>个工作日。</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研</w:t>
      </w:r>
      <w:r>
        <w:rPr>
          <w:rFonts w:cs="Times New Roman" w:asciiTheme="minorEastAsia" w:hAnsiTheme="minorEastAsia"/>
          <w:spacing w:val="-2"/>
          <w:szCs w:val="21"/>
        </w:rPr>
        <w:t>究生完成</w:t>
      </w:r>
      <w:r>
        <w:rPr>
          <w:rFonts w:hint="eastAsia" w:cs="Times New Roman" w:asciiTheme="minorEastAsia" w:hAnsiTheme="minorEastAsia"/>
          <w:spacing w:val="-2"/>
          <w:szCs w:val="21"/>
        </w:rPr>
        <w:t>“</w:t>
      </w:r>
      <w:r>
        <w:rPr>
          <w:rFonts w:cs="Times New Roman" w:asciiTheme="minorEastAsia" w:hAnsiTheme="minorEastAsia"/>
          <w:spacing w:val="-2"/>
          <w:szCs w:val="21"/>
        </w:rPr>
        <w:t>社会实践</w:t>
      </w:r>
      <w:r>
        <w:rPr>
          <w:rFonts w:hint="eastAsia" w:cs="Times New Roman" w:asciiTheme="minorEastAsia" w:hAnsiTheme="minorEastAsia"/>
          <w:spacing w:val="-2"/>
          <w:szCs w:val="21"/>
        </w:rPr>
        <w:t>”</w:t>
      </w:r>
      <w:r>
        <w:rPr>
          <w:rFonts w:cs="Times New Roman" w:asciiTheme="minorEastAsia" w:hAnsiTheme="minorEastAsia"/>
          <w:spacing w:val="-2"/>
          <w:szCs w:val="21"/>
        </w:rPr>
        <w:t>活动后，需撰写不少于</w:t>
      </w:r>
      <w:r>
        <w:rPr>
          <w:rFonts w:ascii="Times New Roman" w:hAnsi="Times New Roman" w:cs="Times New Roman"/>
          <w:spacing w:val="-2"/>
          <w:szCs w:val="21"/>
        </w:rPr>
        <w:t>3000</w:t>
      </w:r>
      <w:r>
        <w:rPr>
          <w:rFonts w:cs="Times New Roman" w:asciiTheme="minorEastAsia" w:hAnsiTheme="minorEastAsia"/>
          <w:spacing w:val="-2"/>
          <w:szCs w:val="21"/>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rFonts w:ascii="Times New Roman" w:hAnsi="Times New Roman" w:cs="Times New Roman"/>
          <w:spacing w:val="-2"/>
          <w:szCs w:val="21"/>
        </w:rPr>
        <w:t>1</w:t>
      </w:r>
      <w:r>
        <w:rPr>
          <w:rFonts w:cs="Times New Roman" w:asciiTheme="minorEastAsia" w:hAnsiTheme="minorEastAsia"/>
          <w:spacing w:val="-2"/>
          <w:szCs w:val="21"/>
        </w:rPr>
        <w:t>学分。</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w:t>
      </w:r>
      <w:r>
        <w:rPr>
          <w:rFonts w:ascii="Times New Roman" w:hAnsi="Times New Roman" w:eastAsia="宋体" w:cs="Times New Roman"/>
          <w:b/>
          <w:bCs/>
          <w:szCs w:val="21"/>
        </w:rPr>
        <w:t>两助一辅</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w:t>
      </w:r>
      <w:r>
        <w:rPr>
          <w:rFonts w:cs="Times New Roman" w:asciiTheme="minorEastAsia" w:hAnsiTheme="minorEastAsia"/>
          <w:szCs w:val="21"/>
        </w:rPr>
        <w:t>两助一辅</w:t>
      </w:r>
      <w:r>
        <w:rPr>
          <w:rFonts w:hint="eastAsia" w:cs="Times New Roman" w:asciiTheme="minorEastAsia" w:hAnsiTheme="minorEastAsia"/>
          <w:szCs w:val="21"/>
        </w:rPr>
        <w:t>”</w:t>
      </w:r>
      <w:r>
        <w:rPr>
          <w:rFonts w:cs="Times New Roman" w:asciiTheme="minorEastAsia" w:hAnsiTheme="minorEastAsia"/>
          <w:szCs w:val="21"/>
        </w:rPr>
        <w:t>是指研究生担任助教、助管和辅导员工作，其目的是培养研究生的综合能力，是研究生培养过程的有机组成部分。</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全日制博士研究生在培养过程中必须完成至少一个标准岗位的助教、助管或辅导员工作。该环节纳入学分管理，通过后记</w:t>
      </w:r>
      <w:r>
        <w:rPr>
          <w:rFonts w:ascii="Times New Roman" w:hAnsi="Times New Roman" w:cs="Times New Roman"/>
          <w:szCs w:val="21"/>
        </w:rPr>
        <w:t>2</w:t>
      </w:r>
      <w:r>
        <w:rPr>
          <w:rFonts w:cs="Times New Roman" w:asciiTheme="minorEastAsia" w:hAnsiTheme="minorEastAsia"/>
          <w:szCs w:val="21"/>
        </w:rPr>
        <w:t>学分。</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4</w:t>
      </w:r>
      <w:r>
        <w:rPr>
          <w:rFonts w:hint="eastAsia" w:ascii="Times New Roman" w:hAnsi="Times New Roman" w:eastAsia="宋体" w:cs="Times New Roman"/>
          <w:b/>
          <w:bCs/>
          <w:szCs w:val="21"/>
        </w:rPr>
        <w:t>．</w:t>
      </w:r>
      <w:r>
        <w:rPr>
          <w:rFonts w:ascii="Times New Roman" w:hAnsi="Times New Roman" w:eastAsia="宋体" w:cs="Times New Roman"/>
          <w:b/>
          <w:bCs/>
          <w:szCs w:val="21"/>
        </w:rPr>
        <w:t>基金撰写</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kern w:val="0"/>
          <w:szCs w:val="21"/>
        </w:rPr>
      </w:pPr>
      <w:r>
        <w:rPr>
          <w:rFonts w:hint="eastAsia" w:ascii="Times New Roman" w:hAnsi="Times New Roman" w:eastAsia="宋体" w:cs="Times New Roman"/>
          <w:szCs w:val="21"/>
        </w:rPr>
        <w:t>硕博贯通</w:t>
      </w:r>
      <w:r>
        <w:rPr>
          <w:rFonts w:cs="Times New Roman" w:asciiTheme="minorEastAsia" w:hAnsiTheme="minorEastAsia"/>
          <w:szCs w:val="21"/>
        </w:rPr>
        <w:t>研究生在学习期间，须在导师指导下，完成一项国家科研基金申请书的撰写，培养博士生申请科研项目的能力，导师同意通过后，记</w:t>
      </w:r>
      <w:r>
        <w:rPr>
          <w:rFonts w:ascii="Times New Roman" w:hAnsi="Times New Roman" w:cs="Times New Roman"/>
          <w:szCs w:val="21"/>
        </w:rPr>
        <w:t>1</w:t>
      </w:r>
      <w:r>
        <w:rPr>
          <w:rFonts w:cs="Times New Roman" w:asciiTheme="minorEastAsia" w:hAnsiTheme="minorEastAsia"/>
          <w:szCs w:val="21"/>
        </w:rPr>
        <w:t>学分。</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5</w:t>
      </w:r>
      <w:r>
        <w:rPr>
          <w:rFonts w:hint="eastAsia" w:ascii="Times New Roman" w:hAnsi="Times New Roman" w:eastAsia="宋体" w:cs="Times New Roman"/>
          <w:b/>
          <w:bCs/>
          <w:szCs w:val="21"/>
        </w:rPr>
        <w:t>．</w:t>
      </w:r>
      <w:r>
        <w:rPr>
          <w:rFonts w:ascii="Times New Roman" w:hAnsi="Times New Roman" w:eastAsia="宋体" w:cs="Times New Roman"/>
          <w:b/>
          <w:bCs/>
          <w:szCs w:val="21"/>
        </w:rPr>
        <w:t>国际化交流</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kern w:val="0"/>
          <w:szCs w:val="21"/>
        </w:rPr>
        <w:t>立足于培养</w:t>
      </w:r>
      <w:r>
        <w:rPr>
          <w:rFonts w:hint="eastAsia" w:ascii="Times New Roman" w:hAnsi="Times New Roman" w:eastAsia="宋体" w:cs="Times New Roman"/>
          <w:szCs w:val="21"/>
        </w:rPr>
        <w:t>硕博贯通</w:t>
      </w:r>
      <w:r>
        <w:rPr>
          <w:rFonts w:cs="Times New Roman" w:asciiTheme="minorEastAsia" w:hAnsiTheme="minorEastAsia"/>
          <w:kern w:val="0"/>
          <w:szCs w:val="21"/>
        </w:rPr>
        <w:t>研究生的全球化视野，</w:t>
      </w:r>
      <w:r>
        <w:rPr>
          <w:rFonts w:cs="Times New Roman" w:asciiTheme="minorEastAsia" w:hAnsiTheme="minorEastAsia"/>
          <w:szCs w:val="21"/>
        </w:rPr>
        <w:t>研究生在校期间，达到以下条件之一记1学分：</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1</w:t>
      </w:r>
      <w:r>
        <w:rPr>
          <w:rFonts w:cs="Times New Roman" w:asciiTheme="minorEastAsia" w:hAnsiTheme="minorEastAsia"/>
          <w:szCs w:val="21"/>
        </w:rPr>
        <w:t>）</w:t>
      </w:r>
      <w:r>
        <w:rPr>
          <w:rFonts w:hint="eastAsia" w:ascii="Times New Roman" w:hAnsi="Times New Roman" w:cs="Times New Roman"/>
          <w:szCs w:val="21"/>
        </w:rPr>
        <w:t>CSC</w:t>
      </w:r>
      <w:r>
        <w:rPr>
          <w:rFonts w:hint="eastAsia" w:cs="Times New Roman" w:asciiTheme="minorEastAsia" w:hAnsiTheme="minorEastAsia"/>
          <w:szCs w:val="21"/>
        </w:rPr>
        <w:t>项目；</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2</w:t>
      </w:r>
      <w:r>
        <w:rPr>
          <w:rFonts w:cs="Times New Roman" w:asciiTheme="minorEastAsia" w:hAnsiTheme="minorEastAsia"/>
          <w:szCs w:val="21"/>
        </w:rPr>
        <w:t>）</w:t>
      </w:r>
      <w:r>
        <w:rPr>
          <w:rFonts w:hint="eastAsia" w:cs="Times New Roman" w:asciiTheme="minorEastAsia" w:hAnsiTheme="minorEastAsia"/>
          <w:szCs w:val="21"/>
        </w:rPr>
        <w:t>与国（境）外</w:t>
      </w:r>
      <w:r>
        <w:rPr>
          <w:rFonts w:cs="Times New Roman" w:asciiTheme="minorEastAsia" w:hAnsiTheme="minorEastAsia"/>
          <w:szCs w:val="21"/>
        </w:rPr>
        <w:t>联合培养；</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3</w:t>
      </w:r>
      <w:r>
        <w:rPr>
          <w:rFonts w:cs="Times New Roman" w:asciiTheme="minorEastAsia" w:hAnsiTheme="minorEastAsia"/>
          <w:szCs w:val="21"/>
        </w:rPr>
        <w:t>）</w:t>
      </w:r>
      <w:r>
        <w:rPr>
          <w:rFonts w:hint="eastAsia" w:cs="Times New Roman" w:asciiTheme="minorEastAsia" w:hAnsiTheme="minorEastAsia"/>
          <w:szCs w:val="21"/>
        </w:rPr>
        <w:t>国（境）外</w:t>
      </w:r>
      <w:r>
        <w:rPr>
          <w:rFonts w:cs="Times New Roman" w:asciiTheme="minorEastAsia" w:hAnsiTheme="minorEastAsia"/>
          <w:szCs w:val="21"/>
        </w:rPr>
        <w:t>短期出</w:t>
      </w:r>
      <w:r>
        <w:rPr>
          <w:rFonts w:hint="eastAsia" w:cs="Times New Roman" w:asciiTheme="minorEastAsia" w:hAnsiTheme="minorEastAsia"/>
          <w:szCs w:val="21"/>
        </w:rPr>
        <w:t>访、国际组织实习（三个月以上）；</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4</w:t>
      </w:r>
      <w:r>
        <w:rPr>
          <w:rFonts w:cs="Times New Roman" w:asciiTheme="minorEastAsia" w:hAnsiTheme="minorEastAsia"/>
          <w:szCs w:val="21"/>
        </w:rPr>
        <w:t>）国内外举办的</w:t>
      </w:r>
      <w:r>
        <w:rPr>
          <w:rFonts w:hint="eastAsia" w:cs="Times New Roman" w:asciiTheme="minorEastAsia" w:hAnsiTheme="minorEastAsia"/>
          <w:szCs w:val="21"/>
        </w:rPr>
        <w:t>高水平</w:t>
      </w:r>
      <w:r>
        <w:rPr>
          <w:rFonts w:cs="Times New Roman" w:asciiTheme="minorEastAsia" w:hAnsiTheme="minorEastAsia"/>
          <w:szCs w:val="21"/>
        </w:rPr>
        <w:t>国际</w:t>
      </w:r>
      <w:r>
        <w:rPr>
          <w:rFonts w:hint="eastAsia" w:cs="Times New Roman" w:asciiTheme="minorEastAsia" w:hAnsiTheme="minorEastAsia"/>
          <w:szCs w:val="21"/>
        </w:rPr>
        <w:t>学术</w:t>
      </w:r>
      <w:r>
        <w:rPr>
          <w:rFonts w:cs="Times New Roman" w:asciiTheme="minorEastAsia" w:hAnsiTheme="minorEastAsia"/>
          <w:szCs w:val="21"/>
        </w:rPr>
        <w:t>会议（参加、投稿被书面收录、壁报、小组发言、大会发言，均被认可，但需提供详细的书面证明邀请信、参会照片、收录节选、壁报展示及照片、小组发言或大会发言照片等）；</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5</w:t>
      </w:r>
      <w:r>
        <w:rPr>
          <w:rFonts w:ascii="Times New Roman" w:hAnsi="Times New Roman" w:cs="Times New Roman"/>
          <w:szCs w:val="21"/>
        </w:rPr>
        <w:t>）</w:t>
      </w:r>
      <w:r>
        <w:rPr>
          <w:rFonts w:hint="eastAsia" w:cs="Times New Roman" w:asciiTheme="minorEastAsia" w:hAnsiTheme="minorEastAsia"/>
          <w:szCs w:val="21"/>
        </w:rPr>
        <w:t>选修国外高校全英文在线课程（</w:t>
      </w:r>
      <w:r>
        <w:rPr>
          <w:rFonts w:hint="eastAsia" w:ascii="Times New Roman" w:hAnsi="Times New Roman" w:cs="Times New Roman"/>
          <w:szCs w:val="21"/>
        </w:rPr>
        <w:t>MOOC</w:t>
      </w:r>
      <w:r>
        <w:rPr>
          <w:rFonts w:hint="eastAsia" w:cs="Times New Roman" w:asciiTheme="minorEastAsia" w:hAnsiTheme="minorEastAsia"/>
          <w:szCs w:val="21"/>
        </w:rPr>
        <w:t>），并取得合格证书；</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ascii="Times New Roman" w:hAnsi="Times New Roman" w:cs="Times New Roman"/>
          <w:szCs w:val="21"/>
        </w:rPr>
        <w:t>6</w:t>
      </w:r>
      <w:r>
        <w:rPr>
          <w:rFonts w:cs="Times New Roman" w:asciiTheme="minorEastAsia" w:hAnsiTheme="minorEastAsia"/>
          <w:szCs w:val="21"/>
        </w:rPr>
        <w:t>）</w:t>
      </w:r>
      <w:r>
        <w:rPr>
          <w:rFonts w:hint="eastAsia" w:cs="Times New Roman" w:asciiTheme="minorEastAsia" w:hAnsiTheme="minorEastAsia"/>
          <w:szCs w:val="21"/>
        </w:rPr>
        <w:t>参加国际专业竞赛并获奖。</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hint="eastAsia" w:ascii="Times New Roman" w:hAnsi="Times New Roman" w:eastAsia="宋体" w:cs="Times New Roman"/>
          <w:b/>
          <w:bCs/>
          <w:szCs w:val="21"/>
        </w:rPr>
        <w:t>6．文献</w:t>
      </w:r>
      <w:r>
        <w:rPr>
          <w:rFonts w:ascii="Times New Roman" w:hAnsi="Times New Roman" w:eastAsia="宋体" w:cs="Times New Roman"/>
          <w:b/>
          <w:bCs/>
          <w:szCs w:val="21"/>
        </w:rPr>
        <w:t>阅读</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博士研究生</w:t>
      </w:r>
      <w:r>
        <w:rPr>
          <w:rFonts w:ascii="Times New Roman" w:hAnsi="Times New Roman" w:eastAsia="宋体" w:cs="Times New Roman"/>
          <w:szCs w:val="21"/>
        </w:rPr>
        <w:t>在第</w:t>
      </w:r>
      <w:r>
        <w:rPr>
          <w:rFonts w:hint="eastAsia" w:ascii="Times New Roman" w:hAnsi="Times New Roman" w:eastAsia="宋体" w:cs="Times New Roman"/>
          <w:szCs w:val="21"/>
        </w:rPr>
        <w:t>三</w:t>
      </w:r>
      <w:r>
        <w:rPr>
          <w:rFonts w:ascii="Times New Roman" w:hAnsi="Times New Roman" w:eastAsia="宋体" w:cs="Times New Roman"/>
          <w:szCs w:val="21"/>
        </w:rPr>
        <w:t>学</w:t>
      </w:r>
      <w:r>
        <w:rPr>
          <w:rFonts w:hint="eastAsia" w:ascii="Times New Roman" w:hAnsi="Times New Roman" w:eastAsia="宋体" w:cs="Times New Roman"/>
          <w:szCs w:val="21"/>
        </w:rPr>
        <w:t>期</w:t>
      </w:r>
      <w:r>
        <w:rPr>
          <w:rFonts w:ascii="Times New Roman" w:hAnsi="Times New Roman" w:eastAsia="宋体" w:cs="Times New Roman"/>
          <w:szCs w:val="21"/>
        </w:rPr>
        <w:t>完成</w:t>
      </w:r>
      <w:r>
        <w:rPr>
          <w:rFonts w:hint="eastAsia" w:ascii="Times New Roman" w:hAnsi="Times New Roman" w:eastAsia="宋体" w:cs="Times New Roman"/>
          <w:szCs w:val="21"/>
        </w:rPr>
        <w:t>文献阅读</w:t>
      </w:r>
      <w:r>
        <w:rPr>
          <w:rFonts w:ascii="Times New Roman" w:hAnsi="Times New Roman" w:eastAsia="宋体" w:cs="Times New Roman"/>
          <w:szCs w:val="21"/>
        </w:rPr>
        <w:t>考核</w:t>
      </w:r>
      <w:r>
        <w:rPr>
          <w:rFonts w:hint="eastAsia" w:ascii="Times New Roman" w:hAnsi="Times New Roman" w:eastAsia="宋体" w:cs="Times New Roman"/>
          <w:szCs w:val="21"/>
        </w:rPr>
        <w:t>。</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文献阅读是引领研究生特别是博士生夯实学术根基、迅速进入学科专业研究领域和培养研究生科研素养的重要手段，是课程知识扩展和补充的重要方式。学生入学后</w:t>
      </w:r>
      <w:r>
        <w:rPr>
          <w:rFonts w:ascii="Times New Roman" w:hAnsi="Times New Roman" w:eastAsia="宋体" w:cs="Times New Roman"/>
          <w:szCs w:val="21"/>
        </w:rPr>
        <w:t>结合学科发展和论文研究方向，在导师指导下阅读国内外文献资料。</w:t>
      </w:r>
      <w:r>
        <w:rPr>
          <w:rFonts w:hint="eastAsia" w:ascii="Times New Roman" w:hAnsi="Times New Roman" w:eastAsia="宋体" w:cs="Times New Roman"/>
          <w:szCs w:val="21"/>
        </w:rPr>
        <w:t>考核形式采用提交文献综述形式（要求字数不少于</w:t>
      </w:r>
      <w:r>
        <w:rPr>
          <w:rFonts w:ascii="Times New Roman" w:hAnsi="Times New Roman" w:eastAsia="宋体" w:cs="Times New Roman"/>
          <w:szCs w:val="21"/>
        </w:rPr>
        <w:t>5000</w:t>
      </w:r>
      <w:r>
        <w:rPr>
          <w:rFonts w:hint="eastAsia" w:ascii="Times New Roman" w:hAnsi="Times New Roman" w:eastAsia="宋体" w:cs="Times New Roman"/>
          <w:szCs w:val="21"/>
        </w:rPr>
        <w:t>字，参考文献应包含中文文献和外文文献，综述文献不少于</w:t>
      </w:r>
      <w:r>
        <w:rPr>
          <w:rFonts w:ascii="Times New Roman" w:hAnsi="Times New Roman" w:eastAsia="宋体" w:cs="Times New Roman"/>
          <w:szCs w:val="21"/>
        </w:rPr>
        <w:t>60</w:t>
      </w:r>
      <w:r>
        <w:rPr>
          <w:rFonts w:hint="eastAsia" w:ascii="Times New Roman" w:hAnsi="Times New Roman" w:eastAsia="宋体" w:cs="Times New Roman"/>
          <w:szCs w:val="21"/>
        </w:rPr>
        <w:t>篇），导师签字确认后提交，学院组织评审专家对综述报告的选题、格式、内容以及书面表达能力等进行评审，审核通过者，记</w:t>
      </w:r>
      <w:r>
        <w:rPr>
          <w:rFonts w:ascii="Times New Roman" w:hAnsi="Times New Roman" w:eastAsia="宋体" w:cs="Times New Roman"/>
          <w:szCs w:val="21"/>
        </w:rPr>
        <w:t>2</w:t>
      </w:r>
      <w:r>
        <w:rPr>
          <w:rFonts w:hint="eastAsia" w:ascii="Times New Roman" w:hAnsi="Times New Roman" w:eastAsia="宋体" w:cs="Times New Roman"/>
          <w:szCs w:val="21"/>
        </w:rPr>
        <w:t>学分。审核未通过者，按照专家审核意见完成修改后提交学院进行二次评审。经两次审核都未通过者，不记入学分。考核工作由医学部各学院统一安排。</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文献阅读考核需在博士生中期考核前完成考核。</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7</w:t>
      </w:r>
      <w:r>
        <w:rPr>
          <w:rFonts w:hint="eastAsia" w:ascii="Times New Roman" w:hAnsi="Times New Roman" w:eastAsia="宋体" w:cs="Times New Roman"/>
          <w:b/>
          <w:bCs/>
          <w:szCs w:val="21"/>
        </w:rPr>
        <w:t>．</w:t>
      </w:r>
      <w:r>
        <w:rPr>
          <w:rFonts w:ascii="Times New Roman" w:hAnsi="Times New Roman" w:eastAsia="宋体" w:cs="Times New Roman"/>
          <w:b/>
          <w:bCs/>
          <w:szCs w:val="21"/>
        </w:rPr>
        <w:t>开题报告</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硕博连读生，硕士阶段第二学年内完成博士资格考核，在进入博士阶段第一学年内完成开题报告；直博生，在第二学年内完成开题报告。</w:t>
      </w:r>
      <w:r>
        <w:rPr>
          <w:rFonts w:hint="eastAsia" w:cs="Times New Roman" w:asciiTheme="minorEastAsia" w:hAnsiTheme="minorEastAsia"/>
          <w:szCs w:val="21"/>
        </w:rPr>
        <w:t>具体时间由导师或院系决定，并上报学院（系）教学管理部门备案。从开题报告通过至申请论文答辩的时间一般不少于一年。开题报告由医学部各学院（系）组织，应以学术活动的形式在学院（系）内公开进行，并邀请相关教师和研究生参加。各学院（系）邀请本学院督导列席旁听并打分。开题报告评审专家小组由3-5名校内外博士生导师组成（导师及导师团队成员为主体）。考查内容包括：文献综述、选题意义与科学依据、研究基础、研究内容与计划、工作难点及特色、预期成果以及可能产生的创新点、论文选题与学科的匹配度等。经评审通过的开题报告，须以书面形式交医学部人才培养处审核备案。</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8</w:t>
      </w:r>
      <w:r>
        <w:rPr>
          <w:rFonts w:hint="eastAsia" w:ascii="Times New Roman" w:hAnsi="Times New Roman" w:eastAsia="宋体" w:cs="Times New Roman"/>
          <w:b/>
          <w:bCs/>
          <w:szCs w:val="21"/>
        </w:rPr>
        <w:t>．</w:t>
      </w:r>
      <w:r>
        <w:rPr>
          <w:rFonts w:ascii="Times New Roman" w:hAnsi="Times New Roman" w:eastAsia="宋体" w:cs="Times New Roman"/>
          <w:b/>
          <w:bCs/>
          <w:szCs w:val="21"/>
        </w:rPr>
        <w:t>中期考核</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中期考核一般安排在第四学期（贯通培养研究生转为博士生培养后可在第三学期，以直攻博方式进入贯通式培养体系的学生，自第三学年起至第四学年末完成中期考核）进行。中期考核由院系组织，应以学术活动的形式公开进行，考核小组由5-7名本学科或相关学科博士生导师组成。中期考核内容包括：学科基础综合考试（含学科基础文献集阅读）、业务表现与论文工作进展、论文选题与学科的匹配度、综合能力等方面。研究生提交由导师签字的课程成绩、课题研究进展报告等书面材料后，方可参加中期考核。中期考核所有评审材料，须在医学部人才培养处审核备案。</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博士研究生应按时参加中期考核，如有特殊情况需延期参加，须本人申请并获得批准后参加补考核，具体时间由医学部人才培养处确定。</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中期考核具体要求参照《西安交通大学关于博士研究生中期考核的若干规定》（西交研〔2014〕25号）执行。</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研究生的开题报告和中期报告中应包含实验安全风险评估的内容。</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9</w:t>
      </w:r>
      <w:r>
        <w:rPr>
          <w:rFonts w:hint="eastAsia" w:ascii="Times New Roman" w:hAnsi="Times New Roman" w:eastAsia="宋体" w:cs="Times New Roman"/>
          <w:b/>
          <w:bCs/>
          <w:szCs w:val="21"/>
        </w:rPr>
        <w:t>．</w:t>
      </w:r>
      <w:r>
        <w:rPr>
          <w:rFonts w:ascii="Times New Roman" w:hAnsi="Times New Roman" w:eastAsia="宋体" w:cs="Times New Roman"/>
          <w:b/>
          <w:bCs/>
          <w:szCs w:val="21"/>
        </w:rPr>
        <w:t>最终学术报告（预答辩）</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硕博贯通研究生完成学位论文后，须在医学部或医学部各院（系）范围内进行公开预答辩，报告自己的研究成果。预答辩专家组由5名本学科或相关学科专家组成，其中至少3人为博士生导师。各学院（系）邀请本学院督导或相关学科专家列席旁听。在预答辩中，须严格审查论文选题的前沿性、理论及现实意义，学位论文是否有独立见解，学位论文的工作量，研究工作的系统性、完整性，论文选题与学科的匹配度等。</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对预答辩中提出的问题，研究生应认真修改与补充，填写修改说明表，经导师签字同意并报预答辩专家组组长签字同意后，方可进入论文评阅、答辩环节。对于未获得通过的学位论文，博士研究生应修改后重新进行预答辩。</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对于未获得通过和</w:t>
      </w:r>
      <w:r>
        <w:rPr>
          <w:rFonts w:cs="Times New Roman" w:asciiTheme="minorEastAsia" w:hAnsiTheme="minorEastAsia"/>
          <w:szCs w:val="21"/>
        </w:rPr>
        <w:t>问题较多的学位论文要经过研究生修改后重新组织预答辩。</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预答辩具体参照《西安交通大学学位授予工作暂行办法》（西交研〔2003〕14号）执行。</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cs="Times New Roman" w:asciiTheme="minorEastAsia" w:hAnsiTheme="minorEastAsia"/>
          <w:b/>
          <w:bCs/>
          <w:szCs w:val="21"/>
        </w:rPr>
      </w:pPr>
      <w:r>
        <w:rPr>
          <w:rFonts w:cs="Times New Roman" w:asciiTheme="minorEastAsia" w:hAnsiTheme="minorEastAsia"/>
          <w:b/>
          <w:bCs/>
          <w:szCs w:val="21"/>
        </w:rPr>
        <w:t>10.体育、美育、劳动教育</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研究生依据当年的体育、美育、劳动教育研修指南，结合个人兴趣爱好和培养计划安排，制定个人体育、美育、劳动教育环节研修计划并开展研修，由体育、美育、劳动教育牵头单位对环节是否“通过”给予认定。</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11</w:t>
      </w:r>
      <w:r>
        <w:rPr>
          <w:rFonts w:hint="eastAsia" w:ascii="Times New Roman" w:hAnsi="Times New Roman" w:eastAsia="宋体" w:cs="Times New Roman"/>
          <w:b/>
          <w:bCs/>
          <w:szCs w:val="21"/>
        </w:rPr>
        <w:t>．</w:t>
      </w:r>
      <w:r>
        <w:rPr>
          <w:rFonts w:ascii="Times New Roman" w:hAnsi="Times New Roman" w:eastAsia="宋体" w:cs="Times New Roman"/>
          <w:b/>
          <w:bCs/>
          <w:szCs w:val="21"/>
        </w:rPr>
        <w:t>学术论文</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硕博贯通研究生</w:t>
      </w:r>
      <w:r>
        <w:rPr>
          <w:rFonts w:cs="Times New Roman" w:asciiTheme="minorEastAsia" w:hAnsiTheme="minorEastAsia"/>
          <w:szCs w:val="21"/>
        </w:rPr>
        <w:t>应在导师的指导下，根据研究方向确定研究课题，课题需结合国民经济发展需求和学科发展趋势，具有前瞻性和理论价值，达到本学科前沿，博士研究生应独立完成具有一定学术水平和价值的学位论文。论文答辩</w:t>
      </w:r>
      <w:r>
        <w:rPr>
          <w:rFonts w:hint="eastAsia" w:cs="Times New Roman" w:asciiTheme="minorEastAsia" w:hAnsiTheme="minorEastAsia"/>
          <w:szCs w:val="21"/>
        </w:rPr>
        <w:t>具体参照</w:t>
      </w:r>
      <w:r>
        <w:rPr>
          <w:rFonts w:cs="Times New Roman" w:asciiTheme="minorEastAsia" w:hAnsiTheme="minorEastAsia"/>
          <w:szCs w:val="21"/>
        </w:rPr>
        <w:t>《西安交通大学学位授予工作暂行办法》（西交研〔2003〕14号）执行。</w:t>
      </w:r>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r>
        <w:rPr>
          <w:rFonts w:hint="eastAsia" w:ascii="黑体" w:hAnsi="黑体" w:eastAsia="黑体"/>
          <w:sz w:val="24"/>
          <w:szCs w:val="24"/>
        </w:rPr>
        <w:t>七</w:t>
      </w:r>
      <w:r>
        <w:rPr>
          <w:rFonts w:ascii="黑体" w:hAnsi="黑体" w:eastAsia="黑体"/>
          <w:sz w:val="24"/>
          <w:szCs w:val="24"/>
        </w:rPr>
        <w:t>、分流机制</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cs="Times New Roman" w:asciiTheme="minorEastAsia" w:hAnsiTheme="minorEastAsia"/>
          <w:bCs/>
          <w:szCs w:val="21"/>
        </w:rPr>
      </w:pPr>
      <w:r>
        <w:rPr>
          <w:rFonts w:cs="Times New Roman" w:asciiTheme="minorEastAsia" w:hAnsiTheme="minorEastAsia"/>
          <w:bCs/>
          <w:szCs w:val="21"/>
        </w:rPr>
        <w:t>硕博连读生未通过博士资格考核或审核的，按硕士研究生进行培养，最长年限为三学年；直博生未通过博士中期考核或因其他原因需停止按博士培养而转回硕士培养的，需在半年之内完成硕士培养要求，申请硕士毕业和学位。</w:t>
      </w:r>
    </w:p>
    <w:p>
      <w:pPr>
        <w:keepNext w:val="0"/>
        <w:keepLines w:val="0"/>
        <w:pageBreakBefore w:val="0"/>
        <w:widowControl w:val="0"/>
        <w:kinsoku/>
        <w:wordWrap/>
        <w:overflowPunct/>
        <w:topLinePunct w:val="0"/>
        <w:autoSpaceDE/>
        <w:autoSpaceDN/>
        <w:bidi w:val="0"/>
        <w:spacing w:before="120" w:beforeLines="50" w:after="120" w:afterLines="50" w:line="300" w:lineRule="auto"/>
        <w:ind w:firstLine="420" w:firstLineChars="200"/>
        <w:textAlignment w:val="auto"/>
        <w:rPr>
          <w:rFonts w:cs="Times New Roman" w:asciiTheme="minorEastAsia" w:hAnsiTheme="minorEastAsia"/>
          <w:szCs w:val="21"/>
        </w:rPr>
      </w:pPr>
      <w:r>
        <w:rPr>
          <w:rFonts w:cs="Times New Roman" w:asciiTheme="minorEastAsia" w:hAnsiTheme="minorEastAsia"/>
          <w:bCs/>
          <w:szCs w:val="21"/>
        </w:rPr>
        <w:t>硕博贯通研究生申请硕士学位的</w:t>
      </w:r>
      <w:r>
        <w:rPr>
          <w:rFonts w:hint="eastAsia" w:cs="Times New Roman" w:asciiTheme="minorEastAsia" w:hAnsiTheme="minorEastAsia"/>
          <w:bCs/>
          <w:szCs w:val="21"/>
        </w:rPr>
        <w:t>需修满29学分</w:t>
      </w:r>
      <w:r>
        <w:rPr>
          <w:rFonts w:cs="Times New Roman" w:asciiTheme="minorEastAsia" w:hAnsiTheme="minorEastAsia"/>
          <w:bCs/>
          <w:szCs w:val="21"/>
        </w:rPr>
        <w:t>。</w:t>
      </w:r>
      <w:r>
        <w:rPr>
          <w:rFonts w:hint="eastAsia" w:cs="Times New Roman" w:asciiTheme="minorEastAsia" w:hAnsiTheme="minorEastAsia"/>
          <w:bCs/>
          <w:szCs w:val="21"/>
        </w:rPr>
        <w:t>其中课程学习23学分</w:t>
      </w:r>
      <w:r>
        <w:rPr>
          <w:rFonts w:cs="Times New Roman" w:asciiTheme="minorEastAsia" w:hAnsiTheme="minorEastAsia"/>
          <w:bCs/>
          <w:szCs w:val="21"/>
        </w:rPr>
        <w:t>、必修环节</w:t>
      </w:r>
      <w:r>
        <w:rPr>
          <w:rFonts w:hint="eastAsia" w:cs="Times New Roman" w:asciiTheme="minorEastAsia" w:hAnsiTheme="minorEastAsia"/>
          <w:bCs/>
          <w:szCs w:val="21"/>
        </w:rPr>
        <w:t>6学分。</w:t>
      </w:r>
    </w:p>
    <w:p>
      <w:pPr>
        <w:pStyle w:val="3"/>
        <w:spacing w:before="340" w:after="340" w:line="240" w:lineRule="auto"/>
        <w:jc w:val="center"/>
        <w:rPr>
          <w:b w:val="0"/>
          <w:sz w:val="28"/>
          <w:szCs w:val="28"/>
        </w:rPr>
      </w:pPr>
      <w:bookmarkStart w:id="522" w:name="_Toc110427517"/>
      <w:r>
        <w:rPr>
          <w:b w:val="0"/>
          <w:sz w:val="28"/>
          <w:szCs w:val="28"/>
        </w:rPr>
        <w:t>（</w:t>
      </w:r>
      <w:r>
        <w:rPr>
          <w:rFonts w:hint="eastAsia"/>
          <w:b w:val="0"/>
          <w:sz w:val="28"/>
          <w:szCs w:val="28"/>
        </w:rPr>
        <w:t>三</w:t>
      </w:r>
      <w:r>
        <w:rPr>
          <w:b w:val="0"/>
          <w:sz w:val="28"/>
          <w:szCs w:val="28"/>
        </w:rPr>
        <w:t>）硕士</w:t>
      </w:r>
      <w:r>
        <w:rPr>
          <w:rFonts w:hint="eastAsia"/>
          <w:b w:val="0"/>
          <w:sz w:val="28"/>
          <w:szCs w:val="28"/>
        </w:rPr>
        <w:t>研究生</w:t>
      </w:r>
      <w:r>
        <w:rPr>
          <w:b w:val="0"/>
          <w:sz w:val="28"/>
          <w:szCs w:val="28"/>
        </w:rPr>
        <w:t>培养方案</w:t>
      </w:r>
      <w:bookmarkEnd w:id="515"/>
      <w:bookmarkEnd w:id="516"/>
      <w:bookmarkEnd w:id="517"/>
      <w:bookmarkEnd w:id="518"/>
      <w:bookmarkEnd w:id="519"/>
      <w:bookmarkEnd w:id="520"/>
      <w:bookmarkEnd w:id="521"/>
      <w:bookmarkEnd w:id="522"/>
    </w:p>
    <w:p>
      <w:pPr>
        <w:spacing w:before="360" w:after="360" w:line="240" w:lineRule="auto"/>
        <w:jc w:val="center"/>
        <w:rPr>
          <w:rFonts w:ascii="楷体_GB2312" w:eastAsia="楷体_GB2312" w:cs="Times New Roman"/>
          <w:sz w:val="28"/>
          <w:szCs w:val="28"/>
        </w:rPr>
      </w:pPr>
      <w:bookmarkStart w:id="523" w:name="_Toc278294915"/>
      <w:r>
        <w:rPr>
          <w:rFonts w:hint="eastAsia" w:ascii="楷体_GB2312" w:hAnsi="Times New Roman" w:eastAsia="楷体_GB2312" w:cs="Times New Roman"/>
          <w:sz w:val="28"/>
          <w:szCs w:val="28"/>
        </w:rPr>
        <w:t>★</w:t>
      </w:r>
      <w:r>
        <w:rPr>
          <w:rFonts w:ascii="楷体_GB2312" w:hAnsi="Times New Roman" w:eastAsia="楷体_GB2312" w:cs="Times New Roman"/>
          <w:sz w:val="28"/>
          <w:szCs w:val="28"/>
        </w:rPr>
        <w:t>口腔医学（1003）攻读硕士学位（学术型）研究生培养方案</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auto"/>
        <w:textAlignment w:val="auto"/>
        <w:rPr>
          <w:rFonts w:ascii="黑体" w:hAnsi="黑体" w:eastAsia="黑体"/>
          <w:sz w:val="24"/>
          <w:szCs w:val="24"/>
        </w:rPr>
      </w:pPr>
      <w:bookmarkStart w:id="524" w:name="_Toc534657640"/>
      <w:bookmarkStart w:id="525" w:name="_Toc487802544"/>
      <w:bookmarkStart w:id="526" w:name="_Toc519846478"/>
      <w:bookmarkStart w:id="527" w:name="_Toc391994487"/>
      <w:bookmarkStart w:id="528" w:name="_Toc422988861"/>
      <w:bookmarkStart w:id="529" w:name="_Toc391973377"/>
      <w:bookmarkStart w:id="530" w:name="_Toc534577309"/>
      <w:bookmarkStart w:id="531" w:name="_Toc392754256"/>
      <w:bookmarkStart w:id="532" w:name="_Toc422842537"/>
      <w:bookmarkStart w:id="533" w:name="_Toc520822698"/>
      <w:bookmarkStart w:id="534" w:name="_Toc423012062"/>
      <w:r>
        <w:rPr>
          <w:rFonts w:ascii="黑体" w:hAnsi="黑体" w:eastAsia="黑体"/>
          <w:sz w:val="24"/>
          <w:szCs w:val="24"/>
        </w:rPr>
        <w:t>一、培养目标</w:t>
      </w:r>
      <w:bookmarkEnd w:id="524"/>
      <w:bookmarkEnd w:id="525"/>
      <w:bookmarkEnd w:id="526"/>
      <w:bookmarkEnd w:id="527"/>
      <w:bookmarkEnd w:id="528"/>
      <w:bookmarkEnd w:id="529"/>
      <w:bookmarkEnd w:id="530"/>
      <w:bookmarkEnd w:id="531"/>
      <w:bookmarkEnd w:id="532"/>
      <w:bookmarkEnd w:id="533"/>
      <w:bookmarkEnd w:id="534"/>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秉承“扎根西部、服务国家、区域引领、世界一流”的办学定位，口腔医学硕士研究生的培养目标为：面向口腔医学教育和研究的前沿需求，以科研创新能力培养为主，坚持德智体美劳全面发展，培养造就具有强烈德才兼备的高层次口腔医学创新型人才。</w:t>
      </w:r>
      <w:r>
        <w:rPr>
          <w:rFonts w:ascii="Times New Roman" w:hAnsi="Times New Roman" w:eastAsia="宋体" w:cs="Times New Roman"/>
          <w:szCs w:val="21"/>
        </w:rPr>
        <w:t>具体要求是：</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热爱祖国，遵纪守法，</w:t>
      </w:r>
      <w:r>
        <w:rPr>
          <w:rFonts w:ascii="Times New Roman" w:hAnsi="Times New Roman" w:eastAsia="宋体" w:cs="Times New Roman"/>
          <w:szCs w:val="21"/>
        </w:rPr>
        <w:t>品德良好，</w:t>
      </w:r>
      <w:r>
        <w:rPr>
          <w:rFonts w:hint="eastAsia" w:ascii="Times New Roman" w:hAnsi="Times New Roman" w:eastAsia="宋体" w:cs="Times New Roman"/>
          <w:szCs w:val="21"/>
        </w:rPr>
        <w:t>开拓进取，努力创新，</w:t>
      </w:r>
      <w:r>
        <w:rPr>
          <w:rFonts w:ascii="Times New Roman" w:hAnsi="Times New Roman" w:eastAsia="宋体" w:cs="Times New Roman"/>
          <w:szCs w:val="21"/>
        </w:rPr>
        <w:t>有献身于科学的强烈事业心和创新精神，积极为祖国医学事业发展贡献自己的才智。</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2．掌握本学科</w:t>
      </w:r>
      <w:r>
        <w:rPr>
          <w:rFonts w:hint="eastAsia" w:ascii="Times New Roman" w:hAnsi="Times New Roman" w:eastAsia="宋体" w:cs="Times New Roman"/>
          <w:szCs w:val="21"/>
        </w:rPr>
        <w:t>坚实的基础理论</w:t>
      </w:r>
      <w:r>
        <w:rPr>
          <w:rFonts w:ascii="Times New Roman" w:hAnsi="Times New Roman" w:eastAsia="宋体" w:cs="Times New Roman"/>
          <w:szCs w:val="21"/>
        </w:rPr>
        <w:t>和系统的专业知识</w:t>
      </w:r>
      <w:r>
        <w:rPr>
          <w:rFonts w:hint="eastAsia" w:ascii="Times New Roman" w:hAnsi="Times New Roman" w:eastAsia="宋体" w:cs="Times New Roman"/>
          <w:szCs w:val="21"/>
        </w:rPr>
        <w:t>，了解所在口腔医学领域的前沿。</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w:t>
      </w:r>
      <w:r>
        <w:rPr>
          <w:rFonts w:ascii="Times New Roman" w:hAnsi="Times New Roman" w:eastAsia="宋体" w:cs="Times New Roman"/>
          <w:szCs w:val="21"/>
        </w:rPr>
        <w:t>具备较强的研究能力，能够从事本学科</w:t>
      </w:r>
      <w:r>
        <w:rPr>
          <w:rFonts w:hint="eastAsia" w:ascii="Times New Roman" w:hAnsi="Times New Roman" w:eastAsia="宋体" w:cs="Times New Roman"/>
          <w:szCs w:val="21"/>
        </w:rPr>
        <w:t>的</w:t>
      </w:r>
      <w:r>
        <w:rPr>
          <w:rFonts w:ascii="Times New Roman" w:hAnsi="Times New Roman" w:eastAsia="宋体" w:cs="Times New Roman"/>
          <w:szCs w:val="21"/>
        </w:rPr>
        <w:t>科学研究工作</w:t>
      </w:r>
      <w:r>
        <w:rPr>
          <w:rFonts w:hint="eastAsia" w:ascii="Times New Roman" w:hAnsi="Times New Roman" w:eastAsia="宋体" w:cs="Times New Roman"/>
          <w:szCs w:val="21"/>
        </w:rPr>
        <w:t>。</w:t>
      </w:r>
      <w:r>
        <w:rPr>
          <w:rFonts w:ascii="Times New Roman" w:hAnsi="Times New Roman" w:eastAsia="宋体" w:cs="Times New Roman"/>
          <w:szCs w:val="21"/>
        </w:rPr>
        <w:t>能熟练掌握一门外语，阅读本专业的外文书刊等</w:t>
      </w:r>
      <w:r>
        <w:rPr>
          <w:rFonts w:hint="eastAsia" w:ascii="Times New Roman" w:hAnsi="Times New Roman" w:eastAsia="宋体" w:cs="Times New Roman"/>
          <w:szCs w:val="21"/>
        </w:rPr>
        <w:t>，具有应用外语开展学术研究和学术交流的能力。</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4．具有良好的医学职业精神，</w:t>
      </w:r>
      <w:r>
        <w:rPr>
          <w:rFonts w:ascii="Times New Roman" w:hAnsi="Times New Roman" w:eastAsia="宋体" w:cs="Times New Roman"/>
          <w:szCs w:val="21"/>
        </w:rPr>
        <w:t>较好的语言、文字表达能力，能独</w:t>
      </w:r>
      <w:r>
        <w:rPr>
          <w:rFonts w:hint="eastAsia" w:ascii="Times New Roman" w:hAnsi="Times New Roman" w:eastAsia="宋体" w:cs="Times New Roman"/>
          <w:szCs w:val="21"/>
        </w:rPr>
        <w:t>力胜任本专业的医疗、教学和研究工作。</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auto"/>
        <w:textAlignment w:val="auto"/>
        <w:rPr>
          <w:rFonts w:ascii="黑体" w:hAnsi="黑体" w:eastAsia="黑体"/>
          <w:sz w:val="24"/>
          <w:szCs w:val="24"/>
        </w:rPr>
      </w:pPr>
      <w:bookmarkStart w:id="535" w:name="_Toc534657641"/>
      <w:bookmarkStart w:id="536" w:name="_Toc392754257"/>
      <w:bookmarkStart w:id="537" w:name="_Toc422842538"/>
      <w:bookmarkStart w:id="538" w:name="_Toc422988862"/>
      <w:bookmarkStart w:id="539" w:name="_Toc520822699"/>
      <w:bookmarkStart w:id="540" w:name="_Toc391994488"/>
      <w:bookmarkStart w:id="541" w:name="_Toc519846479"/>
      <w:bookmarkStart w:id="542" w:name="_Toc391973378"/>
      <w:bookmarkStart w:id="543" w:name="_Toc423012063"/>
      <w:bookmarkStart w:id="544" w:name="_Toc487802545"/>
      <w:bookmarkStart w:id="545" w:name="_Toc534577310"/>
      <w:r>
        <w:rPr>
          <w:rFonts w:ascii="黑体" w:hAnsi="黑体" w:eastAsia="黑体"/>
          <w:sz w:val="24"/>
          <w:szCs w:val="24"/>
        </w:rPr>
        <w:t>二、研究方向</w:t>
      </w:r>
      <w:bookmarkEnd w:id="535"/>
      <w:bookmarkEnd w:id="536"/>
      <w:bookmarkEnd w:id="537"/>
      <w:bookmarkEnd w:id="538"/>
      <w:bookmarkEnd w:id="539"/>
      <w:bookmarkEnd w:id="540"/>
      <w:bookmarkEnd w:id="541"/>
      <w:bookmarkEnd w:id="542"/>
      <w:bookmarkEnd w:id="543"/>
      <w:bookmarkEnd w:id="544"/>
      <w:bookmarkEnd w:id="545"/>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1．口腔临床医学；</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2．口腔基础医学。</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auto"/>
        <w:textAlignment w:val="auto"/>
        <w:rPr>
          <w:rFonts w:ascii="黑体" w:hAnsi="黑体" w:eastAsia="黑体"/>
          <w:sz w:val="24"/>
          <w:szCs w:val="24"/>
        </w:rPr>
      </w:pPr>
      <w:bookmarkStart w:id="546" w:name="_Toc422988863"/>
      <w:bookmarkStart w:id="547" w:name="_Toc487802546"/>
      <w:bookmarkStart w:id="548" w:name="_Toc391994489"/>
      <w:bookmarkStart w:id="549" w:name="_Toc520822700"/>
      <w:bookmarkStart w:id="550" w:name="_Toc423012064"/>
      <w:bookmarkStart w:id="551" w:name="_Toc391973379"/>
      <w:bookmarkStart w:id="552" w:name="_Toc534577311"/>
      <w:bookmarkStart w:id="553" w:name="_Toc392754258"/>
      <w:bookmarkStart w:id="554" w:name="_Toc534657642"/>
      <w:bookmarkStart w:id="555" w:name="_Toc519846480"/>
      <w:r>
        <w:rPr>
          <w:rFonts w:ascii="黑体" w:hAnsi="黑体" w:eastAsia="黑体"/>
          <w:sz w:val="24"/>
          <w:szCs w:val="24"/>
        </w:rPr>
        <w:t>三、学习年限</w:t>
      </w:r>
      <w:bookmarkEnd w:id="546"/>
      <w:bookmarkEnd w:id="547"/>
      <w:bookmarkEnd w:id="548"/>
      <w:bookmarkEnd w:id="549"/>
      <w:bookmarkEnd w:id="550"/>
      <w:bookmarkEnd w:id="551"/>
      <w:bookmarkEnd w:id="552"/>
      <w:bookmarkEnd w:id="553"/>
      <w:bookmarkEnd w:id="554"/>
      <w:bookmarkEnd w:id="555"/>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Times New Roman" w:hAnsi="Times New Roman" w:eastAsia="宋体" w:cs="Times New Roman"/>
          <w:bCs/>
          <w:szCs w:val="20"/>
        </w:rPr>
      </w:pPr>
      <w:r>
        <w:rPr>
          <w:rFonts w:ascii="Times New Roman" w:hAnsi="Times New Roman" w:eastAsia="宋体" w:cs="Times New Roman"/>
          <w:bCs/>
          <w:szCs w:val="20"/>
        </w:rPr>
        <w:t>本学科硕士研究生在校的学习年限为3年。第一学年学习专业基础理论，掌握进行科研所必需的基本技能并尽可能写出文献综述。第二、三学</w:t>
      </w:r>
      <w:r>
        <w:rPr>
          <w:rFonts w:hint="eastAsia" w:ascii="Times New Roman" w:hAnsi="Times New Roman" w:eastAsia="宋体" w:cs="Times New Roman"/>
          <w:bCs/>
          <w:szCs w:val="20"/>
        </w:rPr>
        <w:t>年</w:t>
      </w:r>
      <w:r>
        <w:rPr>
          <w:rFonts w:ascii="Times New Roman" w:hAnsi="Times New Roman" w:eastAsia="宋体" w:cs="Times New Roman"/>
          <w:bCs/>
          <w:szCs w:val="20"/>
        </w:rPr>
        <w:t>学习查阅文献，与导师共同商定具体研究课题，进行科</w:t>
      </w:r>
      <w:r>
        <w:rPr>
          <w:rFonts w:ascii="Times New Roman" w:hAnsi="Times New Roman" w:eastAsia="宋体" w:cs="Times New Roman"/>
          <w:szCs w:val="21"/>
        </w:rPr>
        <w:t>学</w:t>
      </w:r>
      <w:r>
        <w:rPr>
          <w:rFonts w:ascii="Times New Roman" w:hAnsi="Times New Roman" w:eastAsia="宋体" w:cs="Times New Roman"/>
          <w:bCs/>
          <w:szCs w:val="20"/>
        </w:rPr>
        <w:t>研究，并形成论文。</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auto"/>
        <w:textAlignment w:val="auto"/>
        <w:rPr>
          <w:rFonts w:ascii="黑体" w:hAnsi="黑体" w:eastAsia="黑体"/>
          <w:sz w:val="24"/>
          <w:szCs w:val="24"/>
        </w:rPr>
      </w:pPr>
      <w:bookmarkStart w:id="556" w:name="_Toc422988864"/>
      <w:bookmarkStart w:id="557" w:name="_Toc391994490"/>
      <w:bookmarkStart w:id="558" w:name="_Toc519846481"/>
      <w:bookmarkStart w:id="559" w:name="_Toc423012065"/>
      <w:bookmarkStart w:id="560" w:name="_Toc392754259"/>
      <w:bookmarkStart w:id="561" w:name="_Toc391973380"/>
      <w:bookmarkStart w:id="562" w:name="_Toc487802547"/>
      <w:bookmarkStart w:id="563" w:name="_Toc534657643"/>
      <w:bookmarkStart w:id="564" w:name="_Toc534577312"/>
      <w:bookmarkStart w:id="565" w:name="_Toc520822701"/>
      <w:r>
        <w:rPr>
          <w:rFonts w:ascii="黑体" w:hAnsi="黑体" w:eastAsia="黑体"/>
          <w:sz w:val="24"/>
          <w:szCs w:val="24"/>
        </w:rPr>
        <w:t>四、培养方式</w:t>
      </w:r>
      <w:bookmarkEnd w:id="556"/>
      <w:bookmarkEnd w:id="557"/>
      <w:bookmarkEnd w:id="558"/>
      <w:bookmarkEnd w:id="559"/>
      <w:bookmarkEnd w:id="560"/>
      <w:bookmarkEnd w:id="561"/>
      <w:bookmarkEnd w:id="562"/>
      <w:bookmarkEnd w:id="563"/>
      <w:bookmarkEnd w:id="564"/>
      <w:bookmarkEnd w:id="565"/>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1</w:t>
      </w:r>
      <w:r>
        <w:rPr>
          <w:rFonts w:ascii="Times New Roman" w:hAnsi="Times New Roman" w:eastAsia="宋体" w:cs="Times New Roman"/>
          <w:szCs w:val="21"/>
        </w:rPr>
        <w:t>．</w:t>
      </w:r>
      <w:r>
        <w:rPr>
          <w:rFonts w:cs="Times New Roman" w:asciiTheme="minorEastAsia" w:hAnsiTheme="minorEastAsia"/>
          <w:szCs w:val="21"/>
        </w:rPr>
        <w:t>导师小组联合指导，导师负责制。各系、中心应成立以导师为</w:t>
      </w:r>
      <w:r>
        <w:rPr>
          <w:rFonts w:ascii="Times New Roman" w:hAnsi="Times New Roman" w:cs="Times New Roman"/>
          <w:szCs w:val="21"/>
        </w:rPr>
        <w:t>主</w:t>
      </w:r>
      <w:r>
        <w:rPr>
          <w:rFonts w:cs="Times New Roman" w:asciiTheme="minorEastAsia" w:hAnsiTheme="minorEastAsia"/>
          <w:szCs w:val="21"/>
        </w:rPr>
        <w:t>指导小组及课题小组的有关成员，共同协助搞好</w:t>
      </w:r>
      <w:r>
        <w:rPr>
          <w:rFonts w:hint="eastAsia" w:cs="Times New Roman" w:asciiTheme="minorEastAsia" w:hAnsiTheme="minorEastAsia"/>
          <w:szCs w:val="21"/>
        </w:rPr>
        <w:t>硕士</w:t>
      </w:r>
      <w:r>
        <w:rPr>
          <w:rFonts w:cs="Times New Roman" w:asciiTheme="minorEastAsia" w:hAnsiTheme="minorEastAsia"/>
          <w:szCs w:val="21"/>
        </w:rPr>
        <w:t>研究生的培养工作。</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2</w:t>
      </w:r>
      <w:r>
        <w:rPr>
          <w:rFonts w:ascii="Times New Roman" w:hAnsi="Times New Roman" w:eastAsia="宋体" w:cs="Times New Roman"/>
          <w:szCs w:val="21"/>
        </w:rPr>
        <w:t>．</w:t>
      </w:r>
      <w:r>
        <w:rPr>
          <w:rFonts w:cs="Times New Roman" w:asciiTheme="minorEastAsia" w:hAnsiTheme="minorEastAsia"/>
          <w:szCs w:val="21"/>
        </w:rPr>
        <w:t>课程学习要满足需要的学分；课程包括本专业的基础和前沿课程和开展自己研究工作的必要知识和技术，可采用上课、学术报告、国际交流、讨论等方式。</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3</w:t>
      </w:r>
      <w:r>
        <w:rPr>
          <w:rFonts w:ascii="Times New Roman" w:hAnsi="Times New Roman" w:eastAsia="宋体" w:cs="Times New Roman"/>
          <w:szCs w:val="21"/>
        </w:rPr>
        <w:t>．</w:t>
      </w:r>
      <w:r>
        <w:rPr>
          <w:rFonts w:cs="Times New Roman" w:asciiTheme="minorEastAsia" w:hAnsiTheme="minorEastAsia"/>
          <w:szCs w:val="21"/>
        </w:rPr>
        <w:t>积极鼓励学生参加会议、讲座等，展丰富多彩的科研活动，营造浓郁的科研氛围，提升学生的科研兴趣，增强学生解决重大科学问题的动力。</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4</w:t>
      </w:r>
      <w:r>
        <w:rPr>
          <w:rFonts w:ascii="Times New Roman" w:hAnsi="Times New Roman" w:eastAsia="宋体" w:cs="Times New Roman"/>
          <w:szCs w:val="21"/>
        </w:rPr>
        <w:t>．</w:t>
      </w:r>
      <w:r>
        <w:rPr>
          <w:rFonts w:cs="Times New Roman" w:asciiTheme="minorEastAsia" w:hAnsiTheme="minorEastAsia"/>
          <w:szCs w:val="21"/>
        </w:rPr>
        <w:t>通过课题组、院系的科研汇报会、文献阅读会、小组讨论会，个别指导等形式，逐步强化学生的科研创新能力。</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cs="Times New Roman" w:asciiTheme="minorEastAsia" w:hAnsiTheme="minorEastAsia"/>
          <w:szCs w:val="21"/>
        </w:rPr>
      </w:pPr>
      <w:r>
        <w:rPr>
          <w:rFonts w:ascii="Times New Roman" w:hAnsi="Times New Roman" w:cs="Times New Roman"/>
          <w:szCs w:val="21"/>
        </w:rPr>
        <w:t>5</w:t>
      </w:r>
      <w:r>
        <w:rPr>
          <w:rFonts w:ascii="Times New Roman" w:hAnsi="Times New Roman" w:eastAsia="宋体" w:cs="Times New Roman"/>
          <w:szCs w:val="21"/>
        </w:rPr>
        <w:t>．</w:t>
      </w:r>
      <w:r>
        <w:rPr>
          <w:rFonts w:cs="Times New Roman" w:asciiTheme="minorEastAsia" w:hAnsiTheme="minorEastAsia"/>
          <w:szCs w:val="21"/>
        </w:rPr>
        <w:t>加强培养期间的过程管理，第一学年学习专业基础理论，掌握进行科研所必需的基本技能并写出文献综述。从第二年开始在导师指导下进入课题研究和学位论文准备阶段。</w:t>
      </w:r>
      <w:r>
        <w:rPr>
          <w:rFonts w:hint="eastAsia" w:cs="Times New Roman" w:asciiTheme="minorEastAsia" w:hAnsiTheme="minorEastAsia"/>
          <w:szCs w:val="21"/>
        </w:rPr>
        <w:t>硕士生</w:t>
      </w:r>
      <w:r>
        <w:rPr>
          <w:rFonts w:cs="Times New Roman" w:asciiTheme="minorEastAsia" w:hAnsiTheme="minorEastAsia"/>
          <w:szCs w:val="21"/>
        </w:rPr>
        <w:t>应在第第四学年末完成</w:t>
      </w:r>
      <w:r>
        <w:rPr>
          <w:rFonts w:hint="eastAsia" w:cs="Times New Roman" w:asciiTheme="minorEastAsia" w:hAnsiTheme="minorEastAsia"/>
          <w:szCs w:val="21"/>
        </w:rPr>
        <w:t>硕</w:t>
      </w:r>
      <w:r>
        <w:rPr>
          <w:rFonts w:cs="Times New Roman" w:asciiTheme="minorEastAsia" w:hAnsiTheme="minorEastAsia"/>
          <w:szCs w:val="21"/>
        </w:rPr>
        <w:t>士中期考核。</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5．临床实习由各医院研究生管理部门统一负责安排。</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auto"/>
        <w:textAlignment w:val="auto"/>
        <w:rPr>
          <w:rFonts w:ascii="黑体" w:hAnsi="黑体" w:eastAsia="黑体"/>
          <w:sz w:val="24"/>
          <w:szCs w:val="24"/>
        </w:rPr>
      </w:pPr>
      <w:bookmarkStart w:id="566" w:name="_Toc422988865"/>
      <w:bookmarkStart w:id="567" w:name="_Toc391994491"/>
      <w:bookmarkStart w:id="568" w:name="_Toc391973381"/>
      <w:bookmarkStart w:id="569" w:name="_Toc520822702"/>
      <w:bookmarkStart w:id="570" w:name="_Toc534657644"/>
      <w:bookmarkStart w:id="571" w:name="_Toc392754260"/>
      <w:bookmarkStart w:id="572" w:name="_Toc487802548"/>
      <w:bookmarkStart w:id="573" w:name="_Toc534577313"/>
      <w:bookmarkStart w:id="574" w:name="_Toc423012066"/>
      <w:bookmarkStart w:id="575" w:name="_Toc519846482"/>
      <w:r>
        <w:rPr>
          <w:rFonts w:ascii="黑体" w:hAnsi="黑体" w:eastAsia="黑体"/>
          <w:sz w:val="24"/>
          <w:szCs w:val="24"/>
        </w:rPr>
        <w:t>五、课程学习</w:t>
      </w:r>
      <w:bookmarkEnd w:id="566"/>
      <w:bookmarkEnd w:id="567"/>
      <w:bookmarkEnd w:id="568"/>
      <w:bookmarkEnd w:id="569"/>
      <w:bookmarkEnd w:id="570"/>
      <w:bookmarkEnd w:id="571"/>
      <w:bookmarkEnd w:id="572"/>
      <w:bookmarkEnd w:id="573"/>
      <w:bookmarkEnd w:id="574"/>
      <w:bookmarkEnd w:id="575"/>
    </w:p>
    <w:p>
      <w:pPr>
        <w:keepNext w:val="0"/>
        <w:keepLines w:val="0"/>
        <w:pageBreakBefore w:val="0"/>
        <w:widowControl w:val="0"/>
        <w:kinsoku/>
        <w:wordWrap/>
        <w:overflowPunct/>
        <w:topLinePunct w:val="0"/>
        <w:autoSpaceDE/>
        <w:autoSpaceDN/>
        <w:bidi w:val="0"/>
        <w:adjustRightInd/>
        <w:snapToGrid/>
        <w:spacing w:after="120" w:afterLines="50" w:line="300" w:lineRule="auto"/>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硕士研究生的学习实行学分制。本学科的硕士研究生在校期间至少修满</w:t>
      </w:r>
      <w:r>
        <w:rPr>
          <w:rFonts w:hint="eastAsia" w:ascii="Times New Roman" w:hAnsi="Times New Roman" w:eastAsia="宋体" w:cs="Times New Roman"/>
          <w:szCs w:val="21"/>
        </w:rPr>
        <w:t>3</w:t>
      </w:r>
      <w:r>
        <w:rPr>
          <w:rFonts w:ascii="Times New Roman" w:hAnsi="Times New Roman" w:eastAsia="宋体" w:cs="Times New Roman"/>
          <w:szCs w:val="21"/>
        </w:rPr>
        <w:t>2学分，其中</w:t>
      </w:r>
      <w:r>
        <w:rPr>
          <w:rFonts w:hint="eastAsia" w:ascii="Times New Roman" w:hAnsi="Times New Roman" w:eastAsia="宋体" w:cs="Times New Roman"/>
          <w:szCs w:val="21"/>
        </w:rPr>
        <w:t>公共学位课</w:t>
      </w:r>
      <w:r>
        <w:rPr>
          <w:rFonts w:ascii="Times New Roman" w:hAnsi="Times New Roman" w:eastAsia="宋体" w:cs="Times New Roman"/>
          <w:szCs w:val="21"/>
        </w:rPr>
        <w:t>不少于5学分，</w:t>
      </w:r>
      <w:r>
        <w:rPr>
          <w:rFonts w:hint="eastAsia" w:ascii="Times New Roman" w:hAnsi="Times New Roman" w:eastAsia="宋体" w:cs="Times New Roman"/>
          <w:szCs w:val="21"/>
        </w:rPr>
        <w:t>学科</w:t>
      </w:r>
      <w:r>
        <w:rPr>
          <w:rFonts w:ascii="Times New Roman" w:hAnsi="Times New Roman" w:eastAsia="宋体" w:cs="Times New Roman"/>
          <w:szCs w:val="21"/>
        </w:rPr>
        <w:t>学位课15学分，选修课6学分。</w:t>
      </w:r>
      <w:r>
        <w:rPr>
          <w:rFonts w:ascii="Times New Roman" w:hAnsi="Times New Roman" w:eastAsia="宋体" w:cs="Times New Roman"/>
          <w:bCs/>
          <w:szCs w:val="20"/>
        </w:rPr>
        <w:t>另外要求必修环节6学分，</w:t>
      </w:r>
      <w:r>
        <w:rPr>
          <w:rFonts w:ascii="Times New Roman" w:hAnsi="Times New Roman" w:eastAsia="宋体" w:cs="Times New Roman"/>
          <w:szCs w:val="21"/>
        </w:rPr>
        <w:t>其中学术活动1学分，社会实践1学分，</w:t>
      </w:r>
      <w:r>
        <w:rPr>
          <w:rFonts w:hint="eastAsia" w:ascii="Times New Roman" w:hAnsi="Times New Roman" w:eastAsia="宋体" w:cs="Times New Roman"/>
          <w:szCs w:val="21"/>
        </w:rPr>
        <w:t>开题</w:t>
      </w:r>
      <w:r>
        <w:rPr>
          <w:rFonts w:ascii="Times New Roman" w:hAnsi="Times New Roman" w:eastAsia="宋体" w:cs="Times New Roman"/>
          <w:szCs w:val="21"/>
        </w:rPr>
        <w:t>报告</w:t>
      </w:r>
      <w:r>
        <w:rPr>
          <w:rFonts w:hint="eastAsia" w:ascii="Times New Roman" w:hAnsi="Times New Roman" w:eastAsia="宋体" w:cs="Times New Roman"/>
          <w:szCs w:val="21"/>
        </w:rPr>
        <w:t>1学分</w:t>
      </w:r>
      <w:r>
        <w:rPr>
          <w:rFonts w:ascii="Times New Roman" w:hAnsi="Times New Roman" w:eastAsia="宋体" w:cs="Times New Roman"/>
          <w:szCs w:val="21"/>
        </w:rPr>
        <w:t>，中期考核3学分。</w:t>
      </w:r>
    </w:p>
    <w:tbl>
      <w:tblPr>
        <w:tblStyle w:val="37"/>
        <w:tblW w:w="47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415"/>
        <w:gridCol w:w="1040"/>
        <w:gridCol w:w="1526"/>
        <w:gridCol w:w="2772"/>
        <w:gridCol w:w="515"/>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ascii="Times New Roman" w:hAnsi="Times New Roman" w:eastAsia="宋体" w:cs="Times New Roman"/>
                <w:b/>
                <w:spacing w:val="-6"/>
                <w:szCs w:val="21"/>
              </w:rPr>
            </w:pPr>
            <w:r>
              <w:rPr>
                <w:rFonts w:ascii="Times New Roman" w:hAnsi="Times New Roman" w:eastAsia="宋体" w:cs="Times New Roman"/>
                <w:b/>
                <w:spacing w:val="-6"/>
                <w:szCs w:val="21"/>
              </w:rPr>
              <w:t>课程性质</w:t>
            </w:r>
          </w:p>
        </w:tc>
        <w:tc>
          <w:tcPr>
            <w:tcW w:w="2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ascii="Times New Roman" w:hAnsi="Times New Roman" w:eastAsia="宋体" w:cs="Times New Roman"/>
                <w:b/>
                <w:szCs w:val="21"/>
              </w:rPr>
            </w:pPr>
            <w:r>
              <w:rPr>
                <w:rFonts w:hint="eastAsia" w:ascii="Times New Roman" w:hAnsi="Times New Roman" w:eastAsia="宋体" w:cs="Times New Roman"/>
                <w:b/>
                <w:szCs w:val="21"/>
              </w:rPr>
              <w:t>序号</w:t>
            </w:r>
          </w:p>
        </w:tc>
        <w:tc>
          <w:tcPr>
            <w:tcW w:w="6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ascii="Times New Roman" w:hAnsi="Times New Roman" w:eastAsia="宋体" w:cs="Times New Roman"/>
                <w:b/>
                <w:szCs w:val="21"/>
              </w:rPr>
            </w:pPr>
            <w:r>
              <w:rPr>
                <w:rFonts w:ascii="Times New Roman" w:hAnsi="Times New Roman" w:eastAsia="宋体" w:cs="Times New Roman"/>
                <w:b/>
                <w:szCs w:val="21"/>
              </w:rPr>
              <w:t>课程编号</w:t>
            </w:r>
          </w:p>
        </w:tc>
        <w:tc>
          <w:tcPr>
            <w:tcW w:w="8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ascii="Times New Roman" w:hAnsi="Times New Roman" w:eastAsia="宋体" w:cs="Times New Roman"/>
                <w:b/>
                <w:szCs w:val="21"/>
              </w:rPr>
            </w:pPr>
            <w:r>
              <w:rPr>
                <w:rFonts w:hint="eastAsia"/>
                <w:b/>
                <w:szCs w:val="21"/>
              </w:rPr>
              <w:t>统一编码</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ascii="Times New Roman" w:hAnsi="Times New Roman" w:eastAsia="宋体" w:cs="Times New Roman"/>
                <w:b/>
                <w:szCs w:val="21"/>
              </w:rPr>
            </w:pPr>
            <w:r>
              <w:rPr>
                <w:rFonts w:ascii="Times New Roman" w:hAnsi="Times New Roman" w:eastAsia="宋体" w:cs="Times New Roman"/>
                <w:b/>
                <w:szCs w:val="21"/>
              </w:rPr>
              <w:t>课程名称</w:t>
            </w:r>
          </w:p>
        </w:tc>
        <w:tc>
          <w:tcPr>
            <w:tcW w:w="2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ascii="Times New Roman" w:hAnsi="Times New Roman" w:eastAsia="宋体" w:cs="Times New Roman"/>
                <w:b/>
                <w:szCs w:val="21"/>
              </w:rPr>
            </w:pPr>
            <w:r>
              <w:rPr>
                <w:rFonts w:ascii="Times New Roman" w:hAnsi="Times New Roman" w:eastAsia="宋体" w:cs="Times New Roman"/>
                <w:b/>
                <w:szCs w:val="21"/>
              </w:rPr>
              <w:t>学分</w:t>
            </w:r>
          </w:p>
        </w:tc>
        <w:tc>
          <w:tcPr>
            <w:tcW w:w="5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rPr>
                <w:rFonts w:ascii="Times New Roman" w:hAnsi="Times New Roman" w:eastAsia="宋体" w:cs="Times New Roman"/>
                <w:b/>
                <w:szCs w:val="21"/>
              </w:rPr>
            </w:pPr>
            <w:r>
              <w:rPr>
                <w:rFonts w:hint="eastAsia" w:ascii="Times New Roman" w:hAnsi="Times New Roman" w:eastAsia="宋体" w:cs="Times New Roman"/>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Cs w:val="21"/>
              </w:rPr>
            </w:pPr>
            <w:r>
              <w:rPr>
                <w:rFonts w:ascii="Times New Roman" w:hAnsi="Times New Roman" w:eastAsia="宋体" w:cs="Times New Roman"/>
                <w:szCs w:val="21"/>
              </w:rPr>
              <w:t>公共学位课</w:t>
            </w:r>
          </w:p>
        </w:tc>
        <w:tc>
          <w:tcPr>
            <w:tcW w:w="2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1</w:t>
            </w:r>
          </w:p>
        </w:tc>
        <w:tc>
          <w:tcPr>
            <w:tcW w:w="6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141003</w:t>
            </w:r>
          </w:p>
        </w:tc>
        <w:tc>
          <w:tcPr>
            <w:tcW w:w="8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MLMD6003</w:t>
            </w:r>
            <w:r>
              <w:rPr>
                <w:rFonts w:hint="eastAsia" w:cs="Times New Roman" w:asciiTheme="minorEastAsia" w:hAnsiTheme="minorEastAsia"/>
                <w:szCs w:val="21"/>
              </w:rPr>
              <w:t>14</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pacing w:val="-6"/>
                <w:szCs w:val="21"/>
              </w:rPr>
            </w:pPr>
            <w:r>
              <w:rPr>
                <w:rFonts w:hint="eastAsia" w:ascii="Times New Roman" w:hAnsi="Times New Roman" w:eastAsia="宋体" w:cs="Times New Roman"/>
                <w:spacing w:val="-6"/>
                <w:szCs w:val="21"/>
              </w:rPr>
              <w:t>新时代</w:t>
            </w:r>
            <w:r>
              <w:rPr>
                <w:rFonts w:ascii="Times New Roman" w:hAnsi="Times New Roman" w:eastAsia="宋体" w:cs="Times New Roman"/>
                <w:spacing w:val="-6"/>
                <w:szCs w:val="21"/>
              </w:rPr>
              <w:t>中国特色社会主义理论与实践</w:t>
            </w:r>
          </w:p>
        </w:tc>
        <w:tc>
          <w:tcPr>
            <w:tcW w:w="2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572"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学分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（必修）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c>
          <w:tcPr>
            <w:tcW w:w="2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2</w:t>
            </w:r>
          </w:p>
        </w:tc>
        <w:tc>
          <w:tcPr>
            <w:tcW w:w="6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141005</w:t>
            </w:r>
          </w:p>
        </w:tc>
        <w:tc>
          <w:tcPr>
            <w:tcW w:w="8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PHLS6001</w:t>
            </w:r>
            <w:r>
              <w:rPr>
                <w:rFonts w:hint="eastAsia" w:cs="Times New Roman" w:asciiTheme="minorEastAsia" w:hAnsiTheme="minorEastAsia"/>
                <w:szCs w:val="21"/>
              </w:rPr>
              <w:t>14</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Cs w:val="21"/>
              </w:rPr>
            </w:pPr>
            <w:r>
              <w:rPr>
                <w:rFonts w:ascii="Times New Roman" w:hAnsi="Times New Roman" w:eastAsia="宋体" w:cs="Times New Roman"/>
                <w:szCs w:val="21"/>
              </w:rPr>
              <w:t>自然辩证法概论</w:t>
            </w:r>
          </w:p>
        </w:tc>
        <w:tc>
          <w:tcPr>
            <w:tcW w:w="2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ascii="Times New Roman" w:hAnsi="Times New Roman" w:eastAsia="宋体" w:cs="Times New Roman"/>
                <w:szCs w:val="21"/>
              </w:rPr>
              <w:t>1</w:t>
            </w:r>
          </w:p>
        </w:tc>
        <w:tc>
          <w:tcPr>
            <w:tcW w:w="572"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c>
          <w:tcPr>
            <w:tcW w:w="2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3</w:t>
            </w:r>
          </w:p>
        </w:tc>
        <w:tc>
          <w:tcPr>
            <w:tcW w:w="6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12106</w:t>
            </w:r>
            <w:r>
              <w:rPr>
                <w:rFonts w:hint="eastAsia" w:cs="Times New Roman" w:asciiTheme="minorEastAsia" w:hAnsiTheme="minorEastAsia"/>
                <w:szCs w:val="21"/>
              </w:rPr>
              <w:t>7</w:t>
            </w:r>
          </w:p>
        </w:tc>
        <w:tc>
          <w:tcPr>
            <w:tcW w:w="8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ENGL602112</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Cs w:val="21"/>
              </w:rPr>
            </w:pPr>
            <w:r>
              <w:rPr>
                <w:rFonts w:hint="eastAsia" w:ascii="Times New Roman" w:hAnsi="Times New Roman" w:eastAsia="宋体" w:cs="Times New Roman"/>
                <w:szCs w:val="21"/>
              </w:rPr>
              <w:t>学术英语二</w:t>
            </w:r>
          </w:p>
        </w:tc>
        <w:tc>
          <w:tcPr>
            <w:tcW w:w="2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572"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学科学位课</w:t>
            </w:r>
          </w:p>
        </w:tc>
        <w:tc>
          <w:tcPr>
            <w:tcW w:w="2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1</w:t>
            </w:r>
          </w:p>
        </w:tc>
        <w:tc>
          <w:tcPr>
            <w:tcW w:w="6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152050</w:t>
            </w:r>
          </w:p>
        </w:tc>
        <w:tc>
          <w:tcPr>
            <w:tcW w:w="8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PUBH6107</w:t>
            </w:r>
            <w:r>
              <w:rPr>
                <w:rFonts w:hint="eastAsia" w:cs="Times New Roman" w:asciiTheme="minorEastAsia" w:hAnsiTheme="minorEastAsia"/>
                <w:szCs w:val="21"/>
              </w:rPr>
              <w:t>15</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Cs w:val="21"/>
              </w:rPr>
            </w:pPr>
            <w:r>
              <w:rPr>
                <w:rFonts w:ascii="Times New Roman" w:hAnsi="Times New Roman" w:eastAsia="宋体" w:cs="Times New Roman"/>
                <w:szCs w:val="21"/>
              </w:rPr>
              <w:t>医学统计学</w:t>
            </w:r>
          </w:p>
        </w:tc>
        <w:tc>
          <w:tcPr>
            <w:tcW w:w="2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572"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13学分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c>
          <w:tcPr>
            <w:tcW w:w="2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2</w:t>
            </w:r>
          </w:p>
        </w:tc>
        <w:tc>
          <w:tcPr>
            <w:tcW w:w="6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152044</w:t>
            </w:r>
          </w:p>
        </w:tc>
        <w:tc>
          <w:tcPr>
            <w:tcW w:w="8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PUBH6101</w:t>
            </w:r>
            <w:r>
              <w:rPr>
                <w:rFonts w:hint="eastAsia" w:cs="Times New Roman" w:asciiTheme="minorEastAsia" w:hAnsiTheme="minorEastAsia"/>
                <w:szCs w:val="21"/>
              </w:rPr>
              <w:t>15</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Cs w:val="21"/>
              </w:rPr>
            </w:pPr>
            <w:r>
              <w:rPr>
                <w:rFonts w:ascii="Times New Roman" w:hAnsi="Times New Roman" w:eastAsia="宋体" w:cs="Times New Roman"/>
                <w:szCs w:val="21"/>
              </w:rPr>
              <w:t>临床流行病学</w:t>
            </w:r>
          </w:p>
        </w:tc>
        <w:tc>
          <w:tcPr>
            <w:tcW w:w="2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57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c>
          <w:tcPr>
            <w:tcW w:w="2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3</w:t>
            </w:r>
          </w:p>
        </w:tc>
        <w:tc>
          <w:tcPr>
            <w:tcW w:w="6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152120</w:t>
            </w:r>
          </w:p>
        </w:tc>
        <w:tc>
          <w:tcPr>
            <w:tcW w:w="8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BASM6120</w:t>
            </w:r>
            <w:r>
              <w:rPr>
                <w:rFonts w:hint="eastAsia" w:cs="Times New Roman" w:asciiTheme="minorEastAsia" w:hAnsiTheme="minorEastAsia"/>
                <w:szCs w:val="21"/>
              </w:rPr>
              <w:t>15</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Cs w:val="21"/>
              </w:rPr>
            </w:pPr>
            <w:r>
              <w:rPr>
                <w:rFonts w:ascii="Times New Roman" w:hAnsi="Times New Roman" w:eastAsia="宋体" w:cs="Times New Roman"/>
                <w:szCs w:val="21"/>
              </w:rPr>
              <w:t>医用生物信息基础</w:t>
            </w:r>
          </w:p>
        </w:tc>
        <w:tc>
          <w:tcPr>
            <w:tcW w:w="2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ascii="Times New Roman" w:hAnsi="Times New Roman" w:eastAsia="宋体" w:cs="Times New Roman"/>
                <w:szCs w:val="21"/>
              </w:rPr>
              <w:t>1</w:t>
            </w:r>
          </w:p>
        </w:tc>
        <w:tc>
          <w:tcPr>
            <w:tcW w:w="57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c>
          <w:tcPr>
            <w:tcW w:w="2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4</w:t>
            </w:r>
          </w:p>
        </w:tc>
        <w:tc>
          <w:tcPr>
            <w:tcW w:w="6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152042</w:t>
            </w:r>
          </w:p>
        </w:tc>
        <w:tc>
          <w:tcPr>
            <w:tcW w:w="8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BIOL6113</w:t>
            </w:r>
            <w:r>
              <w:rPr>
                <w:rFonts w:hint="eastAsia" w:cs="Times New Roman" w:asciiTheme="minorEastAsia" w:hAnsiTheme="minorEastAsia"/>
                <w:szCs w:val="21"/>
              </w:rPr>
              <w:t>15</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Cs w:val="21"/>
              </w:rPr>
            </w:pPr>
            <w:r>
              <w:rPr>
                <w:rFonts w:ascii="Times New Roman" w:hAnsi="Times New Roman" w:eastAsia="宋体" w:cs="Times New Roman"/>
                <w:szCs w:val="21"/>
              </w:rPr>
              <w:t>医学遗传学</w:t>
            </w:r>
          </w:p>
        </w:tc>
        <w:tc>
          <w:tcPr>
            <w:tcW w:w="2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57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c>
          <w:tcPr>
            <w:tcW w:w="2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5</w:t>
            </w:r>
          </w:p>
        </w:tc>
        <w:tc>
          <w:tcPr>
            <w:tcW w:w="6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152041</w:t>
            </w:r>
          </w:p>
        </w:tc>
        <w:tc>
          <w:tcPr>
            <w:tcW w:w="8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BIOL6112</w:t>
            </w:r>
            <w:r>
              <w:rPr>
                <w:rFonts w:hint="eastAsia" w:cs="Times New Roman" w:asciiTheme="minorEastAsia" w:hAnsiTheme="minorEastAsia"/>
                <w:szCs w:val="21"/>
              </w:rPr>
              <w:t>15</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Cs w:val="21"/>
              </w:rPr>
            </w:pPr>
            <w:r>
              <w:rPr>
                <w:rFonts w:ascii="Times New Roman" w:hAnsi="Times New Roman" w:eastAsia="宋体" w:cs="Times New Roman"/>
                <w:szCs w:val="21"/>
              </w:rPr>
              <w:t>分子细胞生物学</w:t>
            </w:r>
          </w:p>
        </w:tc>
        <w:tc>
          <w:tcPr>
            <w:tcW w:w="2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57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c>
          <w:tcPr>
            <w:tcW w:w="2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6</w:t>
            </w:r>
          </w:p>
        </w:tc>
        <w:tc>
          <w:tcPr>
            <w:tcW w:w="6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152007</w:t>
            </w:r>
          </w:p>
        </w:tc>
        <w:tc>
          <w:tcPr>
            <w:tcW w:w="8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BASM6105</w:t>
            </w:r>
            <w:r>
              <w:rPr>
                <w:rFonts w:hint="eastAsia" w:cs="Times New Roman" w:asciiTheme="minorEastAsia" w:hAnsiTheme="minorEastAsia"/>
                <w:szCs w:val="21"/>
              </w:rPr>
              <w:t>15</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Cs w:val="21"/>
              </w:rPr>
            </w:pPr>
            <w:r>
              <w:rPr>
                <w:rFonts w:ascii="Times New Roman" w:hAnsi="Times New Roman" w:eastAsia="宋体" w:cs="Times New Roman"/>
                <w:szCs w:val="21"/>
              </w:rPr>
              <w:t>医学免疫学</w:t>
            </w:r>
          </w:p>
        </w:tc>
        <w:tc>
          <w:tcPr>
            <w:tcW w:w="2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57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c>
          <w:tcPr>
            <w:tcW w:w="2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7</w:t>
            </w:r>
          </w:p>
        </w:tc>
        <w:tc>
          <w:tcPr>
            <w:tcW w:w="6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hint="eastAsia" w:cs="Times New Roman" w:asciiTheme="minorEastAsia" w:hAnsiTheme="minorEastAsia"/>
                <w:szCs w:val="21"/>
              </w:rPr>
              <w:t>153043</w:t>
            </w:r>
          </w:p>
        </w:tc>
        <w:tc>
          <w:tcPr>
            <w:tcW w:w="8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BASM6125</w:t>
            </w:r>
            <w:r>
              <w:rPr>
                <w:rFonts w:hint="eastAsia" w:cs="Times New Roman" w:asciiTheme="minorEastAsia" w:hAnsiTheme="minorEastAsia"/>
                <w:szCs w:val="21"/>
              </w:rPr>
              <w:t>15</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cs="Times New Roman"/>
                <w:szCs w:val="21"/>
              </w:rPr>
            </w:pPr>
            <w:r>
              <w:rPr>
                <w:rFonts w:hint="eastAsia" w:cs="Times New Roman" w:asciiTheme="minorEastAsia" w:hAnsiTheme="minorEastAsia"/>
                <w:szCs w:val="21"/>
              </w:rPr>
              <w:t>Medical</w:t>
            </w:r>
            <w:r>
              <w:rPr>
                <w:rFonts w:cs="Times New Roman" w:asciiTheme="minorEastAsia" w:hAnsiTheme="minorEastAsia"/>
                <w:szCs w:val="21"/>
              </w:rPr>
              <w:t xml:space="preserve"> </w:t>
            </w:r>
            <w:r>
              <w:rPr>
                <w:rFonts w:hint="eastAsia" w:cs="Times New Roman" w:asciiTheme="minorEastAsia" w:hAnsiTheme="minorEastAsia"/>
                <w:szCs w:val="21"/>
              </w:rPr>
              <w:t>Molecular</w:t>
            </w:r>
            <w:r>
              <w:rPr>
                <w:rFonts w:cs="Times New Roman" w:asciiTheme="minorEastAsia" w:hAnsiTheme="minorEastAsia"/>
                <w:szCs w:val="21"/>
              </w:rPr>
              <w:t xml:space="preserve"> </w:t>
            </w:r>
            <w:r>
              <w:rPr>
                <w:rFonts w:hint="eastAsia" w:cs="Times New Roman" w:asciiTheme="minorEastAsia" w:hAnsiTheme="minorEastAsia"/>
                <w:szCs w:val="21"/>
              </w:rPr>
              <w:t>Biology（全英文）</w:t>
            </w:r>
          </w:p>
        </w:tc>
        <w:tc>
          <w:tcPr>
            <w:tcW w:w="2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2</w:t>
            </w:r>
          </w:p>
        </w:tc>
        <w:tc>
          <w:tcPr>
            <w:tcW w:w="572"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c>
          <w:tcPr>
            <w:tcW w:w="240"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1</w:t>
            </w:r>
          </w:p>
        </w:tc>
        <w:tc>
          <w:tcPr>
            <w:tcW w:w="6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162005</w:t>
            </w:r>
          </w:p>
        </w:tc>
        <w:tc>
          <w:tcPr>
            <w:tcW w:w="8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STOM7102</w:t>
            </w:r>
            <w:r>
              <w:rPr>
                <w:rFonts w:hint="eastAsia" w:cs="Times New Roman" w:asciiTheme="minorEastAsia" w:hAnsiTheme="minorEastAsia"/>
                <w:szCs w:val="21"/>
              </w:rPr>
              <w:t>15</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Cs w:val="21"/>
              </w:rPr>
            </w:pPr>
            <w:r>
              <w:rPr>
                <w:rFonts w:ascii="Times New Roman" w:hAnsi="Times New Roman" w:eastAsia="宋体" w:cs="Times New Roman"/>
                <w:szCs w:val="21"/>
              </w:rPr>
              <w:t>口腔临床医学（2）</w:t>
            </w:r>
          </w:p>
        </w:tc>
        <w:tc>
          <w:tcPr>
            <w:tcW w:w="2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572"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ascii="Times New Roman" w:hAnsi="Times New Roman" w:eastAsia="宋体" w:cs="Times New Roman"/>
                <w:szCs w:val="21"/>
              </w:rPr>
              <w:t>根据学生的专业选修2学分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c>
          <w:tcPr>
            <w:tcW w:w="240" w:type="pc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2</w:t>
            </w:r>
          </w:p>
        </w:tc>
        <w:tc>
          <w:tcPr>
            <w:tcW w:w="6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152161</w:t>
            </w:r>
          </w:p>
        </w:tc>
        <w:tc>
          <w:tcPr>
            <w:tcW w:w="8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STOM7101</w:t>
            </w:r>
            <w:r>
              <w:rPr>
                <w:rFonts w:hint="eastAsia" w:cs="Times New Roman" w:asciiTheme="minorEastAsia" w:hAnsiTheme="minorEastAsia"/>
                <w:szCs w:val="21"/>
              </w:rPr>
              <w:t>15</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Cs w:val="21"/>
              </w:rPr>
            </w:pPr>
            <w:r>
              <w:rPr>
                <w:rFonts w:ascii="Times New Roman" w:hAnsi="Times New Roman" w:eastAsia="宋体" w:cs="Times New Roman"/>
                <w:szCs w:val="21"/>
              </w:rPr>
              <w:t>口腔基础医学（2）</w:t>
            </w:r>
          </w:p>
        </w:tc>
        <w:tc>
          <w:tcPr>
            <w:tcW w:w="2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ascii="Times New Roman" w:hAnsi="Times New Roman" w:eastAsia="宋体" w:cs="Times New Roman"/>
                <w:szCs w:val="21"/>
              </w:rPr>
              <w:t>2</w:t>
            </w:r>
          </w:p>
        </w:tc>
        <w:tc>
          <w:tcPr>
            <w:tcW w:w="57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Cs w:val="21"/>
              </w:rPr>
            </w:pPr>
            <w:r>
              <w:rPr>
                <w:rFonts w:hint="eastAsia" w:ascii="Times New Roman" w:hAnsi="Times New Roman" w:eastAsia="宋体" w:cs="Times New Roman"/>
                <w:szCs w:val="21"/>
              </w:rPr>
              <w:t>学科</w:t>
            </w:r>
            <w:r>
              <w:rPr>
                <w:rFonts w:ascii="Times New Roman" w:hAnsi="Times New Roman" w:eastAsia="宋体" w:cs="Times New Roman"/>
                <w:szCs w:val="21"/>
              </w:rPr>
              <w:t>选修课</w:t>
            </w:r>
          </w:p>
        </w:tc>
        <w:tc>
          <w:tcPr>
            <w:tcW w:w="2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1</w:t>
            </w:r>
          </w:p>
        </w:tc>
        <w:tc>
          <w:tcPr>
            <w:tcW w:w="6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hint="eastAsia" w:ascii="Times New Roman" w:hAnsi="Times New Roman" w:cs="Times New Roman"/>
                <w:szCs w:val="21"/>
              </w:rPr>
              <w:t>/</w:t>
            </w:r>
          </w:p>
        </w:tc>
        <w:tc>
          <w:tcPr>
            <w:tcW w:w="8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hint="eastAsia" w:cs="Times New Roman" w:asciiTheme="minorEastAsia" w:hAnsiTheme="minorEastAsia"/>
                <w:szCs w:val="21"/>
              </w:rPr>
              <w:t>/</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Cs w:val="21"/>
              </w:rPr>
            </w:pPr>
            <w:r>
              <w:rPr>
                <w:rFonts w:ascii="Times New Roman" w:hAnsi="Times New Roman" w:eastAsia="宋体" w:cs="Times New Roman"/>
                <w:szCs w:val="21"/>
              </w:rPr>
              <w:t>研究生课程目录上选修</w:t>
            </w:r>
          </w:p>
        </w:tc>
        <w:tc>
          <w:tcPr>
            <w:tcW w:w="2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c>
          <w:tcPr>
            <w:tcW w:w="572"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Cs w:val="21"/>
              </w:rPr>
            </w:pPr>
            <w:r>
              <w:rPr>
                <w:rFonts w:hint="eastAsia" w:ascii="Times New Roman" w:hAnsi="Times New Roman" w:eastAsia="宋体" w:cs="Times New Roman"/>
                <w:szCs w:val="21"/>
              </w:rPr>
              <w:t>其他</w:t>
            </w:r>
            <w:r>
              <w:rPr>
                <w:rFonts w:ascii="Times New Roman" w:hAnsi="Times New Roman" w:eastAsia="宋体" w:cs="Times New Roman"/>
                <w:szCs w:val="21"/>
              </w:rPr>
              <w:t>选修课</w:t>
            </w:r>
          </w:p>
        </w:tc>
        <w:tc>
          <w:tcPr>
            <w:tcW w:w="2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ascii="Times New Roman" w:hAnsi="Times New Roman" w:cs="Times New Roman"/>
                <w:szCs w:val="21"/>
              </w:rPr>
              <w:t>2</w:t>
            </w:r>
          </w:p>
        </w:tc>
        <w:tc>
          <w:tcPr>
            <w:tcW w:w="6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Times New Roman"/>
                <w:szCs w:val="21"/>
              </w:rPr>
            </w:pPr>
            <w:r>
              <w:rPr>
                <w:rFonts w:hint="eastAsia" w:ascii="宋体" w:hAnsi="宋体" w:eastAsia="宋体" w:cs="Times New Roman"/>
                <w:szCs w:val="21"/>
              </w:rPr>
              <w:t>153044</w:t>
            </w:r>
          </w:p>
        </w:tc>
        <w:tc>
          <w:tcPr>
            <w:tcW w:w="8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Times New Roman"/>
                <w:szCs w:val="21"/>
              </w:rPr>
            </w:pPr>
            <w:r>
              <w:rPr>
                <w:rFonts w:ascii="宋体" w:hAnsi="宋体" w:eastAsia="宋体" w:cs="Times New Roman"/>
                <w:szCs w:val="21"/>
              </w:rPr>
              <w:t>BASM612615</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Cs w:val="21"/>
              </w:rPr>
            </w:pPr>
            <w:r>
              <w:rPr>
                <w:rFonts w:hint="eastAsia" w:ascii="Times New Roman" w:hAnsi="Times New Roman" w:eastAsia="宋体" w:cs="Times New Roman"/>
                <w:szCs w:val="21"/>
              </w:rPr>
              <w:t>研究生</w:t>
            </w:r>
            <w:r>
              <w:rPr>
                <w:rFonts w:ascii="Times New Roman" w:hAnsi="Times New Roman" w:eastAsia="宋体" w:cs="Times New Roman"/>
                <w:szCs w:val="21"/>
              </w:rPr>
              <w:t>论文写作</w:t>
            </w:r>
            <w:r>
              <w:rPr>
                <w:rFonts w:hint="eastAsia" w:ascii="Times New Roman" w:hAnsi="Times New Roman" w:eastAsia="宋体" w:cs="Times New Roman"/>
                <w:szCs w:val="21"/>
              </w:rPr>
              <w:t>指导（15）</w:t>
            </w:r>
          </w:p>
        </w:tc>
        <w:tc>
          <w:tcPr>
            <w:tcW w:w="2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（必修）</w:t>
            </w:r>
          </w:p>
        </w:tc>
        <w:tc>
          <w:tcPr>
            <w:tcW w:w="57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Cs w:val="21"/>
              </w:rPr>
            </w:pPr>
          </w:p>
        </w:tc>
        <w:tc>
          <w:tcPr>
            <w:tcW w:w="2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ascii="Times New Roman" w:hAnsi="Times New Roman" w:eastAsia="宋体" w:cs="Times New Roman"/>
                <w:szCs w:val="21"/>
              </w:rPr>
              <w:t>3</w:t>
            </w:r>
          </w:p>
        </w:tc>
        <w:tc>
          <w:tcPr>
            <w:tcW w:w="6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hint="eastAsia" w:ascii="Times New Roman" w:hAnsi="Times New Roman" w:cs="Times New Roman"/>
                <w:szCs w:val="21"/>
              </w:rPr>
              <w:t>/</w:t>
            </w:r>
          </w:p>
        </w:tc>
        <w:tc>
          <w:tcPr>
            <w:tcW w:w="8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hint="eastAsia" w:cs="Times New Roman" w:asciiTheme="minorEastAsia" w:hAnsiTheme="minorEastAsia"/>
                <w:szCs w:val="21"/>
              </w:rPr>
              <w:t>/</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Cs w:val="21"/>
              </w:rPr>
            </w:pPr>
            <w:r>
              <w:rPr>
                <w:rFonts w:hint="eastAsia" w:ascii="Times New Roman" w:hAnsi="Times New Roman" w:cs="Times New Roman"/>
                <w:szCs w:val="21"/>
              </w:rPr>
              <w:t>在</w:t>
            </w:r>
            <w:r>
              <w:rPr>
                <w:rFonts w:ascii="Times New Roman" w:hAnsi="Times New Roman" w:cs="Times New Roman"/>
                <w:szCs w:val="21"/>
              </w:rPr>
              <w:t>通选课中至少选一门</w:t>
            </w:r>
          </w:p>
        </w:tc>
        <w:tc>
          <w:tcPr>
            <w:tcW w:w="298"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c>
          <w:tcPr>
            <w:tcW w:w="57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ascii="Times New Roman" w:hAnsi="Times New Roman" w:eastAsia="宋体" w:cs="Times New Roman"/>
                <w:szCs w:val="21"/>
              </w:rPr>
              <w:t>必修环节</w:t>
            </w:r>
          </w:p>
        </w:tc>
        <w:tc>
          <w:tcPr>
            <w:tcW w:w="240"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1</w:t>
            </w:r>
          </w:p>
        </w:tc>
        <w:tc>
          <w:tcPr>
            <w:tcW w:w="6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001997</w:t>
            </w:r>
          </w:p>
        </w:tc>
        <w:tc>
          <w:tcPr>
            <w:tcW w:w="8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BXHJ6003</w:t>
            </w:r>
            <w:r>
              <w:rPr>
                <w:rFonts w:hint="eastAsia" w:cs="Times New Roman" w:asciiTheme="minorEastAsia" w:hAnsiTheme="minorEastAsia"/>
                <w:szCs w:val="21"/>
              </w:rPr>
              <w:t>99</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Cs w:val="21"/>
              </w:rPr>
            </w:pPr>
            <w:r>
              <w:rPr>
                <w:rFonts w:ascii="Times New Roman" w:hAnsi="Times New Roman" w:eastAsia="宋体" w:cs="Times New Roman"/>
                <w:szCs w:val="21"/>
              </w:rPr>
              <w:t>学术活动（讲座）硕</w:t>
            </w:r>
          </w:p>
        </w:tc>
        <w:tc>
          <w:tcPr>
            <w:tcW w:w="2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ascii="Times New Roman" w:hAnsi="Times New Roman" w:eastAsia="宋体" w:cs="Times New Roman"/>
                <w:szCs w:val="21"/>
              </w:rPr>
              <w:t>1</w:t>
            </w:r>
          </w:p>
        </w:tc>
        <w:tc>
          <w:tcPr>
            <w:tcW w:w="572"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6学分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c>
          <w:tcPr>
            <w:tcW w:w="240"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2</w:t>
            </w:r>
          </w:p>
        </w:tc>
        <w:tc>
          <w:tcPr>
            <w:tcW w:w="6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001987</w:t>
            </w:r>
          </w:p>
        </w:tc>
        <w:tc>
          <w:tcPr>
            <w:tcW w:w="8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BXHJ6006</w:t>
            </w:r>
            <w:r>
              <w:rPr>
                <w:rFonts w:hint="eastAsia" w:cs="Times New Roman" w:asciiTheme="minorEastAsia" w:hAnsiTheme="minorEastAsia"/>
                <w:szCs w:val="21"/>
              </w:rPr>
              <w:t>99</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Cs w:val="21"/>
              </w:rPr>
            </w:pPr>
            <w:r>
              <w:rPr>
                <w:rFonts w:ascii="Times New Roman" w:hAnsi="Times New Roman" w:eastAsia="宋体" w:cs="Times New Roman"/>
                <w:szCs w:val="21"/>
              </w:rPr>
              <w:t>社会实践</w:t>
            </w:r>
          </w:p>
        </w:tc>
        <w:tc>
          <w:tcPr>
            <w:tcW w:w="2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ascii="Times New Roman" w:hAnsi="Times New Roman" w:eastAsia="宋体" w:cs="Times New Roman"/>
                <w:szCs w:val="21"/>
              </w:rPr>
              <w:t>1</w:t>
            </w:r>
          </w:p>
        </w:tc>
        <w:tc>
          <w:tcPr>
            <w:tcW w:w="57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c>
          <w:tcPr>
            <w:tcW w:w="240"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3</w:t>
            </w:r>
          </w:p>
        </w:tc>
        <w:tc>
          <w:tcPr>
            <w:tcW w:w="6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hint="eastAsia" w:cs="Times New Roman" w:asciiTheme="minorEastAsia" w:hAnsiTheme="minorEastAsia"/>
                <w:szCs w:val="21"/>
              </w:rPr>
              <w:t>001967</w:t>
            </w:r>
          </w:p>
        </w:tc>
        <w:tc>
          <w:tcPr>
            <w:tcW w:w="8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hint="eastAsia" w:cs="Times New Roman" w:asciiTheme="minorEastAsia" w:hAnsiTheme="minorEastAsia"/>
                <w:szCs w:val="21"/>
              </w:rPr>
              <w:t>BXHJ601199</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Cs w:val="21"/>
              </w:rPr>
            </w:pPr>
            <w:r>
              <w:rPr>
                <w:rFonts w:hint="eastAsia" w:ascii="Times New Roman" w:hAnsi="Times New Roman" w:eastAsia="宋体" w:cs="Times New Roman"/>
                <w:szCs w:val="21"/>
              </w:rPr>
              <w:t>开题</w:t>
            </w:r>
            <w:r>
              <w:rPr>
                <w:rFonts w:ascii="Times New Roman" w:hAnsi="Times New Roman" w:eastAsia="宋体" w:cs="Times New Roman"/>
                <w:szCs w:val="21"/>
              </w:rPr>
              <w:t>报告（硕）</w:t>
            </w:r>
          </w:p>
        </w:tc>
        <w:tc>
          <w:tcPr>
            <w:tcW w:w="2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hint="eastAsia" w:ascii="Times New Roman" w:hAnsi="Times New Roman" w:eastAsia="宋体" w:cs="Times New Roman"/>
                <w:szCs w:val="21"/>
              </w:rPr>
              <w:t>1</w:t>
            </w:r>
          </w:p>
        </w:tc>
        <w:tc>
          <w:tcPr>
            <w:tcW w:w="57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c>
          <w:tcPr>
            <w:tcW w:w="2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ascii="Times New Roman" w:hAnsi="Times New Roman" w:cs="Times New Roman"/>
                <w:szCs w:val="21"/>
              </w:rPr>
              <w:t>4</w:t>
            </w:r>
          </w:p>
        </w:tc>
        <w:tc>
          <w:tcPr>
            <w:tcW w:w="6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cs="Times New Roman" w:asciiTheme="minorEastAsia" w:hAnsiTheme="minorEastAsia"/>
                <w:szCs w:val="21"/>
              </w:rPr>
              <w:t>001983</w:t>
            </w:r>
          </w:p>
        </w:tc>
        <w:tc>
          <w:tcPr>
            <w:tcW w:w="8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cs="Times New Roman" w:asciiTheme="minorEastAsia" w:hAnsiTheme="minorEastAsia"/>
                <w:szCs w:val="21"/>
              </w:rPr>
              <w:t>BXHJ6007</w:t>
            </w:r>
            <w:r>
              <w:rPr>
                <w:rFonts w:hint="eastAsia" w:cs="Times New Roman" w:asciiTheme="minorEastAsia" w:hAnsiTheme="minorEastAsia"/>
                <w:szCs w:val="21"/>
              </w:rPr>
              <w:t>99</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Cs w:val="21"/>
              </w:rPr>
            </w:pPr>
            <w:r>
              <w:rPr>
                <w:rFonts w:ascii="Times New Roman" w:hAnsi="Times New Roman" w:eastAsia="宋体" w:cs="Times New Roman"/>
                <w:szCs w:val="21"/>
              </w:rPr>
              <w:t>中期考核（硕）</w:t>
            </w:r>
          </w:p>
        </w:tc>
        <w:tc>
          <w:tcPr>
            <w:tcW w:w="2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ascii="Times New Roman" w:hAnsi="Times New Roman" w:eastAsia="宋体" w:cs="Times New Roman"/>
                <w:szCs w:val="21"/>
              </w:rPr>
              <w:t>3</w:t>
            </w:r>
          </w:p>
        </w:tc>
        <w:tc>
          <w:tcPr>
            <w:tcW w:w="57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c>
          <w:tcPr>
            <w:tcW w:w="2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5</w:t>
            </w:r>
          </w:p>
        </w:tc>
        <w:tc>
          <w:tcPr>
            <w:tcW w:w="6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hint="eastAsia" w:cs="Times New Roman" w:asciiTheme="minorEastAsia" w:hAnsiTheme="minorEastAsia"/>
                <w:szCs w:val="21"/>
              </w:rPr>
              <w:t>001954</w:t>
            </w:r>
          </w:p>
        </w:tc>
        <w:tc>
          <w:tcPr>
            <w:tcW w:w="8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hint="eastAsia" w:cs="Times New Roman" w:asciiTheme="minorEastAsia" w:hAnsiTheme="minorEastAsia"/>
                <w:szCs w:val="21"/>
              </w:rPr>
              <w:t>B</w:t>
            </w:r>
            <w:r>
              <w:rPr>
                <w:rFonts w:cs="Times New Roman" w:asciiTheme="minorEastAsia" w:hAnsiTheme="minorEastAsia"/>
                <w:szCs w:val="21"/>
              </w:rPr>
              <w:t>XHJ602499</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Cs w:val="21"/>
              </w:rPr>
            </w:pPr>
            <w:r>
              <w:rPr>
                <w:rFonts w:hint="eastAsia" w:cs="Times New Roman" w:asciiTheme="minorEastAsia" w:hAnsiTheme="minorEastAsia"/>
                <w:szCs w:val="21"/>
              </w:rPr>
              <w:t>劳动教育</w:t>
            </w:r>
          </w:p>
        </w:tc>
        <w:tc>
          <w:tcPr>
            <w:tcW w:w="2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r>
              <w:rPr>
                <w:rFonts w:hint="eastAsia" w:ascii="Times New Roman" w:hAnsi="Times New Roman" w:cs="Times New Roman"/>
                <w:szCs w:val="21"/>
              </w:rPr>
              <w:t>0</w:t>
            </w:r>
          </w:p>
        </w:tc>
        <w:tc>
          <w:tcPr>
            <w:tcW w:w="57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c>
          <w:tcPr>
            <w:tcW w:w="2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6</w:t>
            </w:r>
          </w:p>
        </w:tc>
        <w:tc>
          <w:tcPr>
            <w:tcW w:w="6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hint="eastAsia" w:cs="Times New Roman" w:asciiTheme="minorEastAsia" w:hAnsiTheme="minorEastAsia"/>
                <w:szCs w:val="21"/>
              </w:rPr>
              <w:t>001955</w:t>
            </w:r>
          </w:p>
        </w:tc>
        <w:tc>
          <w:tcPr>
            <w:tcW w:w="8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hint="eastAsia" w:cs="Times New Roman" w:asciiTheme="minorEastAsia" w:hAnsiTheme="minorEastAsia"/>
                <w:szCs w:val="21"/>
              </w:rPr>
              <w:t>B</w:t>
            </w:r>
            <w:r>
              <w:rPr>
                <w:rFonts w:cs="Times New Roman" w:asciiTheme="minorEastAsia" w:hAnsiTheme="minorEastAsia"/>
                <w:szCs w:val="21"/>
              </w:rPr>
              <w:t>XHJ602399</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cs="Times New Roman" w:asciiTheme="minorEastAsia" w:hAnsiTheme="minorEastAsia"/>
                <w:szCs w:val="21"/>
              </w:rPr>
            </w:pPr>
            <w:r>
              <w:rPr>
                <w:rFonts w:hint="eastAsia" w:cs="Times New Roman" w:asciiTheme="minorEastAsia" w:hAnsiTheme="minorEastAsia"/>
                <w:szCs w:val="21"/>
              </w:rPr>
              <w:t>美育</w:t>
            </w:r>
          </w:p>
        </w:tc>
        <w:tc>
          <w:tcPr>
            <w:tcW w:w="2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0</w:t>
            </w:r>
          </w:p>
        </w:tc>
        <w:tc>
          <w:tcPr>
            <w:tcW w:w="572"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8"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c>
          <w:tcPr>
            <w:tcW w:w="24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7</w:t>
            </w:r>
          </w:p>
        </w:tc>
        <w:tc>
          <w:tcPr>
            <w:tcW w:w="60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hint="eastAsia" w:cs="Times New Roman" w:asciiTheme="minorEastAsia" w:hAnsiTheme="minorEastAsia"/>
                <w:szCs w:val="21"/>
              </w:rPr>
              <w:t>001956</w:t>
            </w:r>
          </w:p>
        </w:tc>
        <w:tc>
          <w:tcPr>
            <w:tcW w:w="88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cs="Times New Roman" w:asciiTheme="minorEastAsia" w:hAnsiTheme="minorEastAsia"/>
                <w:szCs w:val="21"/>
              </w:rPr>
            </w:pPr>
            <w:r>
              <w:rPr>
                <w:rFonts w:hint="eastAsia" w:cs="Times New Roman" w:asciiTheme="minorEastAsia" w:hAnsiTheme="minorEastAsia"/>
                <w:szCs w:val="21"/>
              </w:rPr>
              <w:t>B</w:t>
            </w:r>
            <w:r>
              <w:rPr>
                <w:rFonts w:cs="Times New Roman" w:asciiTheme="minorEastAsia" w:hAnsiTheme="minorEastAsia"/>
                <w:szCs w:val="21"/>
              </w:rPr>
              <w:t>XHJ602299</w:t>
            </w:r>
          </w:p>
        </w:tc>
        <w:tc>
          <w:tcPr>
            <w:tcW w:w="160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cs="Times New Roman" w:asciiTheme="minorEastAsia" w:hAnsiTheme="minorEastAsia"/>
                <w:szCs w:val="21"/>
              </w:rPr>
            </w:pPr>
            <w:r>
              <w:rPr>
                <w:rFonts w:hint="eastAsia" w:cs="Times New Roman" w:asciiTheme="minorEastAsia" w:hAnsiTheme="minorEastAsia"/>
                <w:szCs w:val="21"/>
              </w:rPr>
              <w:t>体育</w:t>
            </w:r>
          </w:p>
        </w:tc>
        <w:tc>
          <w:tcPr>
            <w:tcW w:w="29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szCs w:val="21"/>
              </w:rPr>
            </w:pPr>
            <w:r>
              <w:rPr>
                <w:rFonts w:hint="eastAsia" w:ascii="Times New Roman" w:hAnsi="Times New Roman" w:cs="Times New Roman"/>
                <w:szCs w:val="21"/>
              </w:rPr>
              <w:t>0</w:t>
            </w:r>
          </w:p>
        </w:tc>
        <w:tc>
          <w:tcPr>
            <w:tcW w:w="572"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Cs w:val="21"/>
              </w:rPr>
            </w:pPr>
          </w:p>
        </w:tc>
      </w:tr>
    </w:tbl>
    <w:p>
      <w:pPr>
        <w:spacing w:before="120" w:beforeLines="50" w:after="120" w:afterLines="50" w:line="286" w:lineRule="auto"/>
        <w:rPr>
          <w:rFonts w:hint="eastAsia" w:ascii="黑体" w:hAnsi="黑体" w:eastAsia="黑体"/>
          <w:sz w:val="10"/>
          <w:szCs w:val="10"/>
        </w:rPr>
      </w:pPr>
      <w:bookmarkStart w:id="576" w:name="_Toc520822703"/>
      <w:bookmarkStart w:id="577" w:name="_Toc519846483"/>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auto"/>
        <w:textAlignment w:val="auto"/>
        <w:rPr>
          <w:rFonts w:ascii="黑体" w:hAnsi="黑体" w:eastAsia="黑体"/>
          <w:sz w:val="24"/>
          <w:szCs w:val="24"/>
        </w:rPr>
      </w:pPr>
      <w:r>
        <w:rPr>
          <w:rFonts w:hint="eastAsia" w:ascii="黑体" w:hAnsi="黑体" w:eastAsia="黑体"/>
          <w:sz w:val="24"/>
          <w:szCs w:val="24"/>
        </w:rPr>
        <w:t>六、必修</w:t>
      </w:r>
      <w:r>
        <w:rPr>
          <w:rFonts w:ascii="黑体" w:hAnsi="黑体" w:eastAsia="黑体"/>
          <w:sz w:val="24"/>
          <w:szCs w:val="24"/>
        </w:rPr>
        <w:t>环节</w:t>
      </w:r>
    </w:p>
    <w:p>
      <w:pPr>
        <w:keepNext w:val="0"/>
        <w:keepLines w:val="0"/>
        <w:pageBreakBefore w:val="0"/>
        <w:widowControl w:val="0"/>
        <w:kinsoku/>
        <w:wordWrap/>
        <w:overflowPunct/>
        <w:topLinePunct w:val="0"/>
        <w:autoSpaceDE/>
        <w:autoSpaceDN/>
        <w:bidi w:val="0"/>
        <w:adjustRightInd/>
        <w:snapToGrid/>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1</w:t>
      </w:r>
      <w:r>
        <w:rPr>
          <w:rFonts w:hint="eastAsia" w:ascii="Times New Roman" w:hAnsi="Times New Roman" w:eastAsia="宋体" w:cs="Times New Roman"/>
          <w:b/>
          <w:bCs/>
          <w:szCs w:val="21"/>
        </w:rPr>
        <w:t>．学</w:t>
      </w:r>
      <w:r>
        <w:rPr>
          <w:rFonts w:ascii="Times New Roman" w:hAnsi="Times New Roman" w:eastAsia="宋体" w:cs="Times New Roman"/>
          <w:b/>
          <w:bCs/>
          <w:szCs w:val="21"/>
        </w:rPr>
        <w:t>术活动（讲座）</w:t>
      </w:r>
    </w:p>
    <w:p>
      <w:pPr>
        <w:keepNext w:val="0"/>
        <w:keepLines w:val="0"/>
        <w:pageBreakBefore w:val="0"/>
        <w:widowControl w:val="0"/>
        <w:kinsoku/>
        <w:wordWrap/>
        <w:overflowPunct/>
        <w:topLinePunct w:val="0"/>
        <w:autoSpaceDE/>
        <w:autoSpaceDN/>
        <w:bidi w:val="0"/>
        <w:adjustRightInd/>
        <w:snapToGrid/>
        <w:spacing w:line="300" w:lineRule="auto"/>
        <w:ind w:firstLine="420"/>
        <w:textAlignment w:val="auto"/>
        <w:rPr>
          <w:rFonts w:ascii="宋体" w:hAnsi="宋体" w:eastAsia="宋体" w:cs="Times New Roman"/>
        </w:rPr>
      </w:pPr>
      <w:r>
        <w:rPr>
          <w:rFonts w:hint="eastAsia" w:cs="Times New Roman" w:asciiTheme="minorEastAsia" w:hAnsiTheme="minorEastAsia"/>
          <w:szCs w:val="21"/>
        </w:rPr>
        <w:t>硕士</w:t>
      </w:r>
      <w:r>
        <w:rPr>
          <w:rFonts w:cs="Times New Roman" w:asciiTheme="minorEastAsia" w:hAnsiTheme="minorEastAsia"/>
          <w:szCs w:val="21"/>
        </w:rPr>
        <w:t>研究生学术活动（讲座）分为必听讲座和选听讲座。必听讲座为</w:t>
      </w:r>
      <w:r>
        <w:rPr>
          <w:rFonts w:hint="eastAsia" w:cs="Times New Roman" w:asciiTheme="minorEastAsia" w:hAnsiTheme="minorEastAsia"/>
          <w:szCs w:val="21"/>
        </w:rPr>
        <w:t>“</w:t>
      </w:r>
      <w:r>
        <w:rPr>
          <w:rFonts w:cs="Times New Roman" w:asciiTheme="minorEastAsia" w:hAnsiTheme="minorEastAsia"/>
          <w:szCs w:val="21"/>
        </w:rPr>
        <w:t>科学道德与学风建设</w:t>
      </w:r>
      <w:r>
        <w:rPr>
          <w:rFonts w:hint="eastAsia" w:cs="Times New Roman" w:asciiTheme="minorEastAsia" w:hAnsiTheme="minorEastAsia"/>
          <w:szCs w:val="21"/>
        </w:rPr>
        <w:t>”、“职业</w:t>
      </w:r>
      <w:r>
        <w:rPr>
          <w:rFonts w:cs="Times New Roman" w:asciiTheme="minorEastAsia" w:hAnsiTheme="minorEastAsia"/>
          <w:szCs w:val="21"/>
        </w:rPr>
        <w:t>生涯</w:t>
      </w:r>
      <w:r>
        <w:rPr>
          <w:rFonts w:hint="eastAsia" w:cs="Times New Roman" w:asciiTheme="minorEastAsia" w:hAnsiTheme="minorEastAsia"/>
          <w:szCs w:val="21"/>
        </w:rPr>
        <w:t>发展</w:t>
      </w:r>
      <w:r>
        <w:rPr>
          <w:rFonts w:cs="Times New Roman" w:asciiTheme="minorEastAsia" w:hAnsiTheme="minorEastAsia"/>
          <w:szCs w:val="21"/>
        </w:rPr>
        <w:t>与规划导论</w:t>
      </w:r>
      <w:r>
        <w:rPr>
          <w:rFonts w:hint="eastAsia" w:cs="Times New Roman" w:asciiTheme="minorEastAsia" w:hAnsiTheme="minorEastAsia"/>
          <w:szCs w:val="21"/>
        </w:rPr>
        <w:t>”</w:t>
      </w:r>
      <w:r>
        <w:rPr>
          <w:rFonts w:cs="Times New Roman" w:asciiTheme="minorEastAsia" w:hAnsiTheme="minorEastAsia"/>
          <w:szCs w:val="21"/>
        </w:rPr>
        <w:t>；选听讲座包括与学科紧密相关的</w:t>
      </w:r>
      <w:r>
        <w:rPr>
          <w:rFonts w:hint="eastAsia" w:cs="Times New Roman" w:asciiTheme="minorEastAsia" w:hAnsiTheme="minorEastAsia"/>
          <w:szCs w:val="21"/>
        </w:rPr>
        <w:t>“</w:t>
      </w:r>
      <w:r>
        <w:rPr>
          <w:rFonts w:cs="Times New Roman" w:asciiTheme="minorEastAsia" w:hAnsiTheme="minorEastAsia"/>
          <w:szCs w:val="21"/>
        </w:rPr>
        <w:t>学科前沿系列专题讲座</w:t>
      </w:r>
      <w:r>
        <w:rPr>
          <w:rFonts w:hint="eastAsia" w:cs="Times New Roman" w:asciiTheme="minorEastAsia" w:hAnsiTheme="minorEastAsia"/>
          <w:szCs w:val="21"/>
        </w:rPr>
        <w:t>”</w:t>
      </w:r>
      <w:r>
        <w:rPr>
          <w:rFonts w:cs="Times New Roman" w:asciiTheme="minorEastAsia" w:hAnsiTheme="minorEastAsia"/>
          <w:szCs w:val="21"/>
        </w:rPr>
        <w:t>（由各二级学科组织若干教授对本学科前沿知识进行讲座，每个讲座由</w:t>
      </w:r>
      <w:r>
        <w:rPr>
          <w:rFonts w:ascii="Times New Roman" w:hAnsi="Times New Roman" w:cs="Times New Roman"/>
          <w:szCs w:val="21"/>
        </w:rPr>
        <w:t>5</w:t>
      </w:r>
      <w:r>
        <w:rPr>
          <w:rFonts w:cs="Times New Roman" w:asciiTheme="minorEastAsia" w:hAnsiTheme="minorEastAsia"/>
          <w:szCs w:val="21"/>
        </w:rPr>
        <w:t>个以上讲座组成）一个系列和在全校范围内选听“学术讲座”1次</w:t>
      </w:r>
      <w:r>
        <w:rPr>
          <w:rFonts w:ascii="Times New Roman" w:hAnsi="Times New Roman" w:eastAsia="宋体" w:cs="Times New Roman"/>
          <w:szCs w:val="21"/>
        </w:rPr>
        <w:t>，完成后记1学分。</w:t>
      </w:r>
      <w:r>
        <w:rPr>
          <w:rFonts w:hint="eastAsia" w:ascii="Times New Roman" w:hAnsi="宋体" w:eastAsia="宋体" w:cs="Times New Roman"/>
          <w:szCs w:val="21"/>
        </w:rPr>
        <w:t>新港报告系列英文</w:t>
      </w:r>
      <w:r>
        <w:rPr>
          <w:rFonts w:ascii="Times New Roman" w:hAnsi="宋体" w:eastAsia="宋体" w:cs="Times New Roman"/>
          <w:szCs w:val="21"/>
        </w:rPr>
        <w:t>讲</w:t>
      </w:r>
      <w:r>
        <w:rPr>
          <w:rFonts w:hint="eastAsia" w:ascii="Times New Roman" w:hAnsi="宋体" w:eastAsia="宋体" w:cs="Times New Roman"/>
          <w:szCs w:val="21"/>
        </w:rPr>
        <w:t>座纳入</w:t>
      </w:r>
      <w:r>
        <w:rPr>
          <w:rFonts w:ascii="Times New Roman" w:hAnsi="宋体" w:eastAsia="宋体" w:cs="Times New Roman"/>
          <w:szCs w:val="21"/>
        </w:rPr>
        <w:t>研究生选听讲</w:t>
      </w:r>
      <w:r>
        <w:rPr>
          <w:rFonts w:hint="eastAsia" w:ascii="Times New Roman" w:hAnsi="宋体" w:eastAsia="宋体" w:cs="Times New Roman"/>
          <w:szCs w:val="21"/>
        </w:rPr>
        <w:t>座</w:t>
      </w:r>
      <w:r>
        <w:rPr>
          <w:rFonts w:ascii="Times New Roman" w:hAnsi="宋体" w:eastAsia="宋体" w:cs="Times New Roman"/>
          <w:szCs w:val="21"/>
        </w:rPr>
        <w:t>。</w:t>
      </w:r>
    </w:p>
    <w:p>
      <w:pPr>
        <w:keepNext w:val="0"/>
        <w:keepLines w:val="0"/>
        <w:pageBreakBefore w:val="0"/>
        <w:widowControl w:val="0"/>
        <w:kinsoku/>
        <w:wordWrap/>
        <w:overflowPunct/>
        <w:topLinePunct w:val="0"/>
        <w:autoSpaceDE/>
        <w:autoSpaceDN/>
        <w:bidi w:val="0"/>
        <w:adjustRightInd/>
        <w:snapToGrid/>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w:t>
      </w:r>
      <w:r>
        <w:rPr>
          <w:rFonts w:ascii="Times New Roman" w:hAnsi="Times New Roman" w:eastAsia="宋体" w:cs="Times New Roman"/>
          <w:b/>
          <w:bCs/>
          <w:szCs w:val="21"/>
        </w:rPr>
        <w:t>社会实践</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cs="Times New Roman" w:asciiTheme="minorEastAsia" w:hAnsiTheme="minorEastAsia"/>
          <w:szCs w:val="21"/>
        </w:rPr>
      </w:pPr>
      <w:r>
        <w:rPr>
          <w:rFonts w:hint="eastAsia" w:cs="Times New Roman" w:asciiTheme="minorEastAsia" w:hAnsiTheme="minorEastAsia"/>
          <w:szCs w:val="21"/>
        </w:rPr>
        <w:t>“</w:t>
      </w:r>
      <w:r>
        <w:rPr>
          <w:rFonts w:cs="Times New Roman" w:asciiTheme="minorEastAsia" w:hAnsiTheme="minorEastAsia"/>
          <w:szCs w:val="21"/>
        </w:rPr>
        <w:t>社会实践</w:t>
      </w:r>
      <w:r>
        <w:rPr>
          <w:rFonts w:hint="eastAsia" w:cs="Times New Roman" w:asciiTheme="minorEastAsia" w:hAnsiTheme="minorEastAsia"/>
          <w:szCs w:val="21"/>
        </w:rPr>
        <w:t>”</w:t>
      </w:r>
      <w:r>
        <w:rPr>
          <w:rFonts w:cs="Times New Roman" w:asciiTheme="minorEastAsia" w:hAnsiTheme="minorEastAsia"/>
          <w:szCs w:val="21"/>
        </w:rPr>
        <w:t>是指研究生在校学习期间，除完成本学科规定的业务实践外，接触社会、了解社会、服务社会的实践活动。</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可以通过组织和参与社会调查、支教、扶贫及其他志愿者服务等方式进行，提倡以小组或团队形式开展活动，累计不少于</w:t>
      </w:r>
      <w:r>
        <w:rPr>
          <w:rFonts w:ascii="Times New Roman" w:hAnsi="Times New Roman" w:cs="Times New Roman"/>
          <w:szCs w:val="21"/>
        </w:rPr>
        <w:t>10</w:t>
      </w:r>
      <w:r>
        <w:rPr>
          <w:rFonts w:cs="Times New Roman" w:asciiTheme="minorEastAsia" w:hAnsiTheme="minorEastAsia"/>
          <w:szCs w:val="21"/>
        </w:rPr>
        <w:t>个工作日。</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cs="Times New Roman" w:asciiTheme="minorEastAsia" w:hAnsiTheme="minorEastAsia"/>
          <w:szCs w:val="21"/>
        </w:rPr>
      </w:pPr>
      <w:r>
        <w:rPr>
          <w:rFonts w:cs="Times New Roman" w:asciiTheme="minorEastAsia" w:hAnsiTheme="minorEastAsia"/>
          <w:szCs w:val="21"/>
        </w:rPr>
        <w:t>研</w:t>
      </w:r>
      <w:r>
        <w:rPr>
          <w:rFonts w:cs="Times New Roman" w:asciiTheme="minorEastAsia" w:hAnsiTheme="minorEastAsia"/>
          <w:spacing w:val="-2"/>
          <w:szCs w:val="21"/>
        </w:rPr>
        <w:t>究生完成</w:t>
      </w:r>
      <w:r>
        <w:rPr>
          <w:rFonts w:hint="eastAsia" w:cs="Times New Roman" w:asciiTheme="minorEastAsia" w:hAnsiTheme="minorEastAsia"/>
          <w:spacing w:val="-2"/>
          <w:szCs w:val="21"/>
        </w:rPr>
        <w:t>“</w:t>
      </w:r>
      <w:r>
        <w:rPr>
          <w:rFonts w:cs="Times New Roman" w:asciiTheme="minorEastAsia" w:hAnsiTheme="minorEastAsia"/>
          <w:spacing w:val="-2"/>
          <w:szCs w:val="21"/>
        </w:rPr>
        <w:t>社会实践</w:t>
      </w:r>
      <w:r>
        <w:rPr>
          <w:rFonts w:hint="eastAsia" w:cs="Times New Roman" w:asciiTheme="minorEastAsia" w:hAnsiTheme="minorEastAsia"/>
          <w:spacing w:val="-2"/>
          <w:szCs w:val="21"/>
        </w:rPr>
        <w:t>”</w:t>
      </w:r>
      <w:r>
        <w:rPr>
          <w:rFonts w:cs="Times New Roman" w:asciiTheme="minorEastAsia" w:hAnsiTheme="minorEastAsia"/>
          <w:spacing w:val="-2"/>
          <w:szCs w:val="21"/>
        </w:rPr>
        <w:t>活动后，需撰写不少于</w:t>
      </w:r>
      <w:r>
        <w:rPr>
          <w:rFonts w:ascii="Times New Roman" w:hAnsi="Times New Roman" w:cs="Times New Roman"/>
          <w:spacing w:val="-2"/>
          <w:szCs w:val="21"/>
        </w:rPr>
        <w:t>3000</w:t>
      </w:r>
      <w:r>
        <w:rPr>
          <w:rFonts w:cs="Times New Roman" w:asciiTheme="minorEastAsia" w:hAnsiTheme="minorEastAsia"/>
          <w:spacing w:val="-2"/>
          <w:szCs w:val="21"/>
        </w:rPr>
        <w:t>字的社会实践总结报告，内容包括实践过程概述及体会、感想等，并附必要的佐证材料。社会实践服务对象（单位或个人）应在报告上填写评语。研究生提交由实践单位和指导教师签署意见的书面实践报告，学院审核通过后记</w:t>
      </w:r>
      <w:r>
        <w:rPr>
          <w:rFonts w:ascii="Times New Roman" w:hAnsi="Times New Roman" w:cs="Times New Roman"/>
          <w:spacing w:val="-2"/>
          <w:szCs w:val="21"/>
        </w:rPr>
        <w:t>1</w:t>
      </w:r>
      <w:r>
        <w:rPr>
          <w:rFonts w:cs="Times New Roman" w:asciiTheme="minorEastAsia" w:hAnsiTheme="minorEastAsia"/>
          <w:spacing w:val="-2"/>
          <w:szCs w:val="21"/>
        </w:rPr>
        <w:t>学分。</w:t>
      </w:r>
    </w:p>
    <w:p>
      <w:pPr>
        <w:keepNext w:val="0"/>
        <w:keepLines w:val="0"/>
        <w:pageBreakBefore w:val="0"/>
        <w:widowControl w:val="0"/>
        <w:kinsoku/>
        <w:wordWrap/>
        <w:overflowPunct/>
        <w:topLinePunct w:val="0"/>
        <w:autoSpaceDE/>
        <w:autoSpaceDN/>
        <w:bidi w:val="0"/>
        <w:adjustRightInd/>
        <w:snapToGrid/>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w:t>
      </w:r>
      <w:r>
        <w:rPr>
          <w:rFonts w:ascii="Times New Roman" w:hAnsi="Times New Roman" w:eastAsia="宋体" w:cs="Times New Roman"/>
          <w:b/>
          <w:bCs/>
          <w:szCs w:val="21"/>
        </w:rPr>
        <w:t>开题报告</w:t>
      </w:r>
    </w:p>
    <w:p>
      <w:pPr>
        <w:keepNext w:val="0"/>
        <w:keepLines w:val="0"/>
        <w:pageBreakBefore w:val="0"/>
        <w:widowControl w:val="0"/>
        <w:kinsoku/>
        <w:wordWrap/>
        <w:overflowPunct/>
        <w:topLinePunct w:val="0"/>
        <w:autoSpaceDE/>
        <w:autoSpaceDN/>
        <w:bidi w:val="0"/>
        <w:adjustRightInd/>
        <w:snapToGrid/>
        <w:spacing w:line="300" w:lineRule="auto"/>
        <w:ind w:firstLine="411" w:firstLineChars="196"/>
        <w:textAlignment w:val="auto"/>
        <w:rPr>
          <w:rFonts w:cs="Times New Roman" w:asciiTheme="minorEastAsia" w:hAnsiTheme="minorEastAsia"/>
          <w:bCs/>
          <w:szCs w:val="21"/>
        </w:rPr>
      </w:pPr>
      <w:r>
        <w:rPr>
          <w:rFonts w:hint="eastAsia" w:cs="Times New Roman" w:asciiTheme="minorEastAsia" w:hAnsiTheme="minorEastAsia"/>
          <w:bCs/>
          <w:szCs w:val="21"/>
        </w:rPr>
        <w:t>开题报告一般应在第三学期前完成，具体时间由导师或院系决定，并上报学院（系）教学管理部门备案。从开题报告通过至申请论文答辩的时间一般不少于一年。开题报告由医学部各学院（系）组织，应以学术活动的形式在学院（系）内公开进行，并邀请相关教师和研究生参加。各学院（系）邀请本学院督导列席旁听并打分。开题报告评审专家小组由3-5名校内外硕士或博士生导师组成（导师及导师团队成员为主体）。考查内容包括：文献综述、选题意义与科学依据、研究基础、研究内容与计划、工作难点及特色、预期成果以及可能产生的创新点、论文选题与学科的匹配度等。经评审通过的开题报告，须以书面形式交医学部人才培养处审核备案。</w:t>
      </w:r>
    </w:p>
    <w:p>
      <w:pPr>
        <w:keepNext w:val="0"/>
        <w:keepLines w:val="0"/>
        <w:pageBreakBefore w:val="0"/>
        <w:widowControl w:val="0"/>
        <w:kinsoku/>
        <w:wordWrap/>
        <w:overflowPunct/>
        <w:topLinePunct w:val="0"/>
        <w:autoSpaceDE/>
        <w:autoSpaceDN/>
        <w:bidi w:val="0"/>
        <w:adjustRightInd/>
        <w:snapToGrid/>
        <w:spacing w:line="300" w:lineRule="auto"/>
        <w:ind w:firstLine="422" w:firstLineChars="200"/>
        <w:textAlignment w:val="auto"/>
        <w:rPr>
          <w:rFonts w:ascii="Times New Roman" w:hAnsi="Times New Roman" w:eastAsia="宋体" w:cs="Times New Roman"/>
          <w:b/>
          <w:bCs/>
          <w:szCs w:val="21"/>
        </w:rPr>
      </w:pPr>
      <w:r>
        <w:rPr>
          <w:rFonts w:ascii="Times New Roman" w:hAnsi="Times New Roman" w:eastAsia="宋体" w:cs="Times New Roman"/>
          <w:b/>
          <w:bCs/>
          <w:szCs w:val="21"/>
        </w:rPr>
        <w:t>4</w:t>
      </w:r>
      <w:r>
        <w:rPr>
          <w:rFonts w:hint="eastAsia" w:ascii="Times New Roman" w:hAnsi="Times New Roman" w:eastAsia="宋体" w:cs="Times New Roman"/>
          <w:b/>
          <w:bCs/>
          <w:szCs w:val="21"/>
        </w:rPr>
        <w:t>．</w:t>
      </w:r>
      <w:r>
        <w:rPr>
          <w:rFonts w:ascii="Times New Roman" w:hAnsi="Times New Roman" w:eastAsia="宋体" w:cs="Times New Roman"/>
          <w:b/>
          <w:bCs/>
          <w:szCs w:val="21"/>
        </w:rPr>
        <w:t>中期考核</w:t>
      </w:r>
    </w:p>
    <w:p>
      <w:pPr>
        <w:keepNext w:val="0"/>
        <w:keepLines w:val="0"/>
        <w:pageBreakBefore w:val="0"/>
        <w:widowControl w:val="0"/>
        <w:kinsoku/>
        <w:wordWrap/>
        <w:overflowPunct/>
        <w:topLinePunct w:val="0"/>
        <w:autoSpaceDE/>
        <w:autoSpaceDN/>
        <w:bidi w:val="0"/>
        <w:adjustRightInd/>
        <w:snapToGrid/>
        <w:spacing w:line="300" w:lineRule="auto"/>
        <w:ind w:firstLine="411" w:firstLineChars="196"/>
        <w:textAlignment w:val="auto"/>
        <w:rPr>
          <w:rFonts w:cs="Times New Roman" w:asciiTheme="minorEastAsia" w:hAnsiTheme="minorEastAsia"/>
          <w:bCs/>
          <w:szCs w:val="21"/>
        </w:rPr>
      </w:pPr>
      <w:r>
        <w:rPr>
          <w:rFonts w:hint="eastAsia" w:cs="Times New Roman" w:asciiTheme="minorEastAsia" w:hAnsiTheme="minorEastAsia"/>
          <w:bCs/>
          <w:szCs w:val="21"/>
        </w:rPr>
        <w:t>中期考核一般安排在第四学期进行。中期考核由院系组织，应以学术活动的形式公开进行，考核小组由5-7名本学科或相关学科硕士或博士生导师组成。中期考核内容包括：学科基础综合考试（含学科基础文献集阅读）、业务表现与论文工作进展、综合能力、论文选题与学科的匹配度等方面。研究生提交由导师签字的课程成绩、课题研究进展报告等书面材料后，方可参加中期考核。中期考核所有评审材料，须在医学部人才培养处审核备案。</w:t>
      </w:r>
    </w:p>
    <w:p>
      <w:pPr>
        <w:keepNext w:val="0"/>
        <w:keepLines w:val="0"/>
        <w:pageBreakBefore w:val="0"/>
        <w:widowControl w:val="0"/>
        <w:kinsoku/>
        <w:wordWrap/>
        <w:overflowPunct/>
        <w:topLinePunct w:val="0"/>
        <w:autoSpaceDE/>
        <w:autoSpaceDN/>
        <w:bidi w:val="0"/>
        <w:adjustRightInd/>
        <w:snapToGrid/>
        <w:spacing w:line="300" w:lineRule="auto"/>
        <w:ind w:firstLine="411" w:firstLineChars="196"/>
        <w:textAlignment w:val="auto"/>
        <w:rPr>
          <w:rFonts w:cs="Times New Roman" w:asciiTheme="minorEastAsia" w:hAnsiTheme="minorEastAsia"/>
          <w:bCs/>
          <w:szCs w:val="21"/>
        </w:rPr>
      </w:pPr>
      <w:r>
        <w:rPr>
          <w:rFonts w:hint="eastAsia" w:cs="Times New Roman" w:asciiTheme="minorEastAsia" w:hAnsiTheme="minorEastAsia"/>
          <w:bCs/>
          <w:szCs w:val="21"/>
        </w:rPr>
        <w:t>硕士研究生应按时参加中期考核，如有特殊情况需延期参加，须本人申请并获得批准后参加补考核，具体时间由医学部人才培养处确定。</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研究生的开题报告和中期报告中应包含实验安全风险评估的内容。</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ind w:firstLine="422" w:firstLineChars="200"/>
        <w:textAlignment w:val="auto"/>
        <w:rPr>
          <w:rFonts w:ascii="Times New Roman" w:hAnsi="Times New Roman" w:eastAsia="宋体" w:cs="Times New Roman"/>
          <w:b/>
          <w:bCs/>
          <w:szCs w:val="21"/>
        </w:rPr>
      </w:pPr>
      <w:r>
        <w:rPr>
          <w:rFonts w:hint="eastAsia" w:ascii="Times New Roman" w:hAnsi="Times New Roman" w:eastAsia="宋体" w:cs="Times New Roman"/>
          <w:b/>
          <w:bCs/>
          <w:szCs w:val="21"/>
          <w:lang w:val="en-US" w:eastAsia="zh-CN"/>
        </w:rPr>
        <w:t xml:space="preserve"> </w:t>
      </w:r>
      <w:r>
        <w:rPr>
          <w:rFonts w:ascii="Times New Roman" w:hAnsi="Times New Roman" w:eastAsia="宋体" w:cs="Times New Roman"/>
          <w:b/>
          <w:bCs/>
          <w:szCs w:val="21"/>
        </w:rPr>
        <w:t>体育、美育、劳动教育</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ascii="Times New Roman" w:hAnsi="Times New Roman" w:eastAsia="宋体" w:cs="Times New Roman"/>
          <w:szCs w:val="21"/>
        </w:rPr>
      </w:pPr>
      <w:r>
        <w:rPr>
          <w:rFonts w:hint="eastAsia" w:ascii="Times New Roman" w:hAnsi="Times New Roman" w:eastAsia="宋体" w:cs="Times New Roman"/>
          <w:szCs w:val="21"/>
        </w:rPr>
        <w:t>研究生依据当年的体育、美育、劳动教育研修指南，结合个人兴趣爱好和培养计划安排，制定个人体育、美育、劳动教育环节研修计划并开展研修，由体育、美育、劳动教育牵头单位对环节是否“通过”给予认定。</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auto"/>
        <w:textAlignment w:val="auto"/>
        <w:rPr>
          <w:rFonts w:ascii="黑体" w:hAnsi="黑体" w:eastAsia="黑体"/>
          <w:sz w:val="24"/>
          <w:szCs w:val="24"/>
        </w:rPr>
      </w:pPr>
      <w:r>
        <w:rPr>
          <w:rFonts w:hint="eastAsia" w:ascii="黑体" w:hAnsi="黑体" w:eastAsia="黑体"/>
          <w:sz w:val="24"/>
          <w:szCs w:val="24"/>
        </w:rPr>
        <w:t>七</w:t>
      </w:r>
      <w:r>
        <w:rPr>
          <w:rFonts w:ascii="黑体" w:hAnsi="黑体" w:eastAsia="黑体"/>
          <w:sz w:val="24"/>
          <w:szCs w:val="24"/>
        </w:rPr>
        <w:t>、学位论文</w:t>
      </w:r>
      <w:bookmarkEnd w:id="576"/>
      <w:bookmarkEnd w:id="577"/>
    </w:p>
    <w:p>
      <w:pPr>
        <w:keepNext w:val="0"/>
        <w:keepLines w:val="0"/>
        <w:pageBreakBefore w:val="0"/>
        <w:widowControl w:val="0"/>
        <w:kinsoku/>
        <w:wordWrap/>
        <w:overflowPunct/>
        <w:topLinePunct w:val="0"/>
        <w:autoSpaceDE/>
        <w:autoSpaceDN/>
        <w:bidi w:val="0"/>
        <w:adjustRightInd/>
        <w:snapToGrid/>
        <w:spacing w:line="300" w:lineRule="auto"/>
        <w:ind w:firstLine="411" w:firstLineChars="196"/>
        <w:textAlignment w:val="auto"/>
        <w:rPr>
          <w:rFonts w:cs="Times New Roman" w:asciiTheme="minorEastAsia" w:hAnsiTheme="minorEastAsia"/>
          <w:bCs/>
          <w:szCs w:val="21"/>
        </w:rPr>
      </w:pPr>
      <w:r>
        <w:rPr>
          <w:rFonts w:cs="Times New Roman" w:asciiTheme="minorEastAsia" w:hAnsiTheme="minorEastAsia"/>
          <w:bCs/>
          <w:szCs w:val="21"/>
        </w:rPr>
        <w:t>学位论文应在导师的指导下，由硕士生独立完成。学位论文应科学求实、文字简洁、分析严谨，理论推导和计算正确无误。学位论文应具有一定的创新性，如独到的见解；跨学科的科研成果；新技术、新方法的引进、应用或推广；常规技术手段的改进；某种问题解决方案等。学位论文应实行评审和答辩，硕士生在答辩时应能准确地回答与论文相关的问题。</w:t>
      </w:r>
    </w:p>
    <w:bookmarkEnd w:id="523"/>
    <w:p>
      <w:pPr>
        <w:keepNext w:val="0"/>
        <w:keepLines w:val="0"/>
        <w:pageBreakBefore w:val="0"/>
        <w:widowControl w:val="0"/>
        <w:kinsoku/>
        <w:wordWrap/>
        <w:overflowPunct/>
        <w:topLinePunct w:val="0"/>
        <w:autoSpaceDE/>
        <w:autoSpaceDN/>
        <w:bidi w:val="0"/>
        <w:adjustRightInd/>
        <w:snapToGrid/>
        <w:spacing w:line="300" w:lineRule="auto"/>
        <w:ind w:firstLine="411" w:firstLineChars="196"/>
        <w:textAlignment w:val="auto"/>
        <w:rPr>
          <w:rFonts w:cs="Times New Roman" w:asciiTheme="minorEastAsia" w:hAnsiTheme="minorEastAsia"/>
          <w:bCs/>
          <w:szCs w:val="21"/>
        </w:rPr>
      </w:pPr>
      <w:r>
        <w:rPr>
          <w:rFonts w:cs="Times New Roman" w:asciiTheme="minorEastAsia" w:hAnsiTheme="minorEastAsia"/>
          <w:bCs/>
          <w:szCs w:val="21"/>
        </w:rPr>
        <w:t>论文答辩</w:t>
      </w:r>
      <w:r>
        <w:rPr>
          <w:rFonts w:hint="eastAsia" w:cs="Times New Roman" w:asciiTheme="minorEastAsia" w:hAnsiTheme="minorEastAsia"/>
          <w:bCs/>
          <w:szCs w:val="21"/>
        </w:rPr>
        <w:t>具体参照</w:t>
      </w:r>
      <w:r>
        <w:rPr>
          <w:rFonts w:cs="Times New Roman" w:asciiTheme="minorEastAsia" w:hAnsiTheme="minorEastAsia"/>
          <w:bCs/>
          <w:szCs w:val="21"/>
        </w:rPr>
        <w:t>《西安交通大学学位授予工作暂行办法》（西交研〔2003〕14号）执行。</w:t>
      </w:r>
    </w:p>
    <w:p>
      <w:pPr>
        <w:pStyle w:val="3"/>
        <w:spacing w:line="286" w:lineRule="auto"/>
        <w:jc w:val="center"/>
        <w:rPr>
          <w:rFonts w:ascii="黑体" w:hAnsi="黑体"/>
          <w:b w:val="0"/>
          <w:sz w:val="28"/>
          <w:szCs w:val="28"/>
        </w:rPr>
      </w:pPr>
      <w:bookmarkStart w:id="578" w:name="_Toc110427519"/>
      <w:bookmarkStart w:id="579" w:name="_Toc45808598"/>
      <w:r>
        <w:rPr>
          <w:rFonts w:ascii="黑体" w:hAnsi="黑体"/>
          <w:b w:val="0"/>
          <w:sz w:val="28"/>
          <w:szCs w:val="28"/>
        </w:rPr>
        <w:t>（</w:t>
      </w:r>
      <w:r>
        <w:rPr>
          <w:rFonts w:hint="eastAsia" w:ascii="黑体" w:hAnsi="黑体"/>
          <w:b w:val="0"/>
          <w:sz w:val="28"/>
          <w:szCs w:val="28"/>
        </w:rPr>
        <w:t>四</w:t>
      </w:r>
      <w:r>
        <w:rPr>
          <w:rFonts w:ascii="黑体" w:hAnsi="黑体"/>
          <w:b w:val="0"/>
          <w:sz w:val="28"/>
          <w:szCs w:val="28"/>
        </w:rPr>
        <w:t>）</w:t>
      </w:r>
      <w:r>
        <w:rPr>
          <w:rFonts w:hint="eastAsia" w:ascii="黑体" w:hAnsi="黑体"/>
          <w:b w:val="0"/>
          <w:sz w:val="28"/>
          <w:szCs w:val="28"/>
        </w:rPr>
        <w:t>临床医学博士（1051）专业学位研究生培养方案</w:t>
      </w:r>
      <w:bookmarkEnd w:id="578"/>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r>
        <w:rPr>
          <w:rFonts w:ascii="黑体" w:hAnsi="黑体" w:eastAsia="黑体"/>
          <w:sz w:val="24"/>
          <w:szCs w:val="24"/>
        </w:rPr>
        <w:t>一、培养目标：</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szCs w:val="21"/>
        </w:rPr>
      </w:pPr>
      <w:r>
        <w:rPr>
          <w:szCs w:val="21"/>
        </w:rPr>
        <w:t>1．较好地掌握马克思主义的基本原理，坚持四项基本原则，热爱祖国，遵纪守法，品德良好，有献身于科学的强烈事业心和创新精神，积极为祖国医学事业发展贡献自己的才智。</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szCs w:val="21"/>
        </w:rPr>
      </w:pPr>
      <w:r>
        <w:rPr>
          <w:szCs w:val="21"/>
        </w:rPr>
        <w:t>2．具有较严密的逻辑思维和较强的分析问题、解决问题的能力，熟练地掌握本学科的临床技能，能独立处理本学科常见病及某些疑难病症，能对下级医师进行业务指导，达到初级主治医师的临床工作水平。</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szCs w:val="21"/>
        </w:rPr>
      </w:pPr>
      <w:r>
        <w:rPr>
          <w:szCs w:val="21"/>
        </w:rPr>
        <w:t>3．至少掌握一门外语，能熟练地阅读本专业的外文资料，具有一定的写作能力和进行国际学术交流的能力。</w:t>
      </w:r>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r>
        <w:rPr>
          <w:rFonts w:ascii="黑体" w:hAnsi="黑体" w:eastAsia="黑体"/>
          <w:sz w:val="24"/>
          <w:szCs w:val="24"/>
        </w:rPr>
        <w:t>二、</w:t>
      </w:r>
      <w:r>
        <w:rPr>
          <w:rFonts w:hint="eastAsia" w:ascii="黑体" w:hAnsi="黑体" w:eastAsia="黑体"/>
          <w:sz w:val="24"/>
          <w:szCs w:val="24"/>
        </w:rPr>
        <w:t>专业</w:t>
      </w:r>
      <w:r>
        <w:rPr>
          <w:rFonts w:ascii="黑体" w:hAnsi="黑体" w:eastAsia="黑体"/>
          <w:sz w:val="24"/>
          <w:szCs w:val="24"/>
        </w:rPr>
        <w:t>方向：</w:t>
      </w:r>
    </w:p>
    <w:tbl>
      <w:tblPr>
        <w:tblStyle w:val="37"/>
        <w:tblW w:w="9120" w:type="dxa"/>
        <w:tblInd w:w="0" w:type="dxa"/>
        <w:tblLayout w:type="autofit"/>
        <w:tblCellMar>
          <w:top w:w="0" w:type="dxa"/>
          <w:left w:w="108" w:type="dxa"/>
          <w:bottom w:w="0" w:type="dxa"/>
          <w:right w:w="108" w:type="dxa"/>
        </w:tblCellMar>
      </w:tblPr>
      <w:tblGrid>
        <w:gridCol w:w="4560"/>
        <w:gridCol w:w="4560"/>
      </w:tblGrid>
      <w:tr>
        <w:tblPrEx>
          <w:tblCellMar>
            <w:top w:w="0" w:type="dxa"/>
            <w:left w:w="108" w:type="dxa"/>
            <w:bottom w:w="0" w:type="dxa"/>
            <w:right w:w="108" w:type="dxa"/>
          </w:tblCellMar>
        </w:tblPrEx>
        <w:trPr>
          <w:trHeight w:val="352" w:hRule="atLeast"/>
        </w:trPr>
        <w:tc>
          <w:tcPr>
            <w:tcW w:w="4560" w:type="dxa"/>
          </w:tcPr>
          <w:p>
            <w:pPr>
              <w:spacing w:line="286" w:lineRule="auto"/>
              <w:ind w:firstLine="420" w:firstLineChars="200"/>
              <w:rPr>
                <w:szCs w:val="21"/>
              </w:rPr>
            </w:pPr>
            <w:r>
              <w:rPr>
                <w:szCs w:val="21"/>
              </w:rPr>
              <w:t>1</w:t>
            </w:r>
            <w:r>
              <w:rPr>
                <w:rFonts w:hint="eastAsia"/>
                <w:szCs w:val="21"/>
              </w:rPr>
              <w:t>．</w:t>
            </w:r>
            <w:r>
              <w:rPr>
                <w:szCs w:val="21"/>
              </w:rPr>
              <w:t>内科学</w:t>
            </w:r>
          </w:p>
        </w:tc>
        <w:tc>
          <w:tcPr>
            <w:tcW w:w="4560" w:type="dxa"/>
          </w:tcPr>
          <w:p>
            <w:pPr>
              <w:spacing w:line="286" w:lineRule="auto"/>
              <w:rPr>
                <w:szCs w:val="21"/>
              </w:rPr>
            </w:pPr>
            <w:r>
              <w:rPr>
                <w:szCs w:val="21"/>
              </w:rPr>
              <w:t>13</w:t>
            </w:r>
            <w:r>
              <w:rPr>
                <w:rFonts w:hint="eastAsia"/>
                <w:szCs w:val="21"/>
              </w:rPr>
              <w:t>．骨科学</w:t>
            </w:r>
            <w:r>
              <w:rPr>
                <w:szCs w:val="21"/>
              </w:rPr>
              <w:t xml:space="preserve"> </w:t>
            </w:r>
          </w:p>
        </w:tc>
      </w:tr>
      <w:tr>
        <w:tblPrEx>
          <w:tblCellMar>
            <w:top w:w="0" w:type="dxa"/>
            <w:left w:w="108" w:type="dxa"/>
            <w:bottom w:w="0" w:type="dxa"/>
            <w:right w:w="108" w:type="dxa"/>
          </w:tblCellMar>
        </w:tblPrEx>
        <w:trPr>
          <w:trHeight w:val="316" w:hRule="atLeast"/>
        </w:trPr>
        <w:tc>
          <w:tcPr>
            <w:tcW w:w="4560" w:type="dxa"/>
          </w:tcPr>
          <w:p>
            <w:pPr>
              <w:spacing w:line="286" w:lineRule="auto"/>
              <w:ind w:firstLine="420" w:firstLineChars="200"/>
              <w:rPr>
                <w:szCs w:val="21"/>
              </w:rPr>
            </w:pPr>
            <w:r>
              <w:rPr>
                <w:szCs w:val="21"/>
              </w:rPr>
              <w:t>2</w:t>
            </w:r>
            <w:r>
              <w:rPr>
                <w:rFonts w:hint="eastAsia"/>
                <w:szCs w:val="21"/>
              </w:rPr>
              <w:t>．</w:t>
            </w:r>
            <w:r>
              <w:rPr>
                <w:szCs w:val="21"/>
              </w:rPr>
              <w:t>儿科学</w:t>
            </w:r>
          </w:p>
        </w:tc>
        <w:tc>
          <w:tcPr>
            <w:tcW w:w="4560" w:type="dxa"/>
          </w:tcPr>
          <w:p>
            <w:pPr>
              <w:spacing w:line="286" w:lineRule="auto"/>
              <w:rPr>
                <w:szCs w:val="21"/>
              </w:rPr>
            </w:pPr>
            <w:r>
              <w:rPr>
                <w:szCs w:val="21"/>
              </w:rPr>
              <w:t>14</w:t>
            </w:r>
            <w:r>
              <w:rPr>
                <w:rFonts w:hint="eastAsia"/>
                <w:szCs w:val="21"/>
              </w:rPr>
              <w:t>．</w:t>
            </w:r>
            <w:r>
              <w:rPr>
                <w:szCs w:val="21"/>
              </w:rPr>
              <w:t>妇产科学</w:t>
            </w:r>
          </w:p>
        </w:tc>
      </w:tr>
      <w:tr>
        <w:tblPrEx>
          <w:tblCellMar>
            <w:top w:w="0" w:type="dxa"/>
            <w:left w:w="108" w:type="dxa"/>
            <w:bottom w:w="0" w:type="dxa"/>
            <w:right w:w="108" w:type="dxa"/>
          </w:tblCellMar>
        </w:tblPrEx>
        <w:trPr>
          <w:trHeight w:val="316" w:hRule="atLeast"/>
        </w:trPr>
        <w:tc>
          <w:tcPr>
            <w:tcW w:w="4560" w:type="dxa"/>
          </w:tcPr>
          <w:p>
            <w:pPr>
              <w:spacing w:line="286" w:lineRule="auto"/>
              <w:ind w:firstLine="420" w:firstLineChars="200"/>
              <w:rPr>
                <w:szCs w:val="21"/>
              </w:rPr>
            </w:pPr>
            <w:r>
              <w:rPr>
                <w:szCs w:val="21"/>
              </w:rPr>
              <w:t>3</w:t>
            </w:r>
            <w:r>
              <w:rPr>
                <w:rFonts w:hint="eastAsia"/>
                <w:szCs w:val="21"/>
              </w:rPr>
              <w:t>．</w:t>
            </w:r>
            <w:r>
              <w:rPr>
                <w:szCs w:val="21"/>
              </w:rPr>
              <w:t>老年医学</w:t>
            </w:r>
          </w:p>
        </w:tc>
        <w:tc>
          <w:tcPr>
            <w:tcW w:w="4560" w:type="dxa"/>
          </w:tcPr>
          <w:p>
            <w:pPr>
              <w:spacing w:line="286" w:lineRule="auto"/>
              <w:rPr>
                <w:szCs w:val="21"/>
              </w:rPr>
            </w:pPr>
            <w:r>
              <w:rPr>
                <w:szCs w:val="21"/>
              </w:rPr>
              <w:t>15</w:t>
            </w:r>
            <w:r>
              <w:rPr>
                <w:rFonts w:hint="eastAsia"/>
                <w:szCs w:val="21"/>
              </w:rPr>
              <w:t>．</w:t>
            </w:r>
            <w:r>
              <w:rPr>
                <w:szCs w:val="21"/>
              </w:rPr>
              <w:t>眼科学</w:t>
            </w:r>
          </w:p>
        </w:tc>
      </w:tr>
      <w:tr>
        <w:tblPrEx>
          <w:tblCellMar>
            <w:top w:w="0" w:type="dxa"/>
            <w:left w:w="108" w:type="dxa"/>
            <w:bottom w:w="0" w:type="dxa"/>
            <w:right w:w="108" w:type="dxa"/>
          </w:tblCellMar>
        </w:tblPrEx>
        <w:trPr>
          <w:trHeight w:val="302" w:hRule="atLeast"/>
        </w:trPr>
        <w:tc>
          <w:tcPr>
            <w:tcW w:w="4560" w:type="dxa"/>
          </w:tcPr>
          <w:p>
            <w:pPr>
              <w:spacing w:line="286" w:lineRule="auto"/>
              <w:ind w:firstLine="420" w:firstLineChars="200"/>
              <w:rPr>
                <w:szCs w:val="21"/>
              </w:rPr>
            </w:pPr>
            <w:r>
              <w:rPr>
                <w:szCs w:val="21"/>
              </w:rPr>
              <w:t>4</w:t>
            </w:r>
            <w:r>
              <w:rPr>
                <w:rFonts w:hint="eastAsia"/>
                <w:szCs w:val="21"/>
              </w:rPr>
              <w:t>．</w:t>
            </w:r>
            <w:r>
              <w:rPr>
                <w:szCs w:val="21"/>
              </w:rPr>
              <w:t>神经病学</w:t>
            </w:r>
          </w:p>
        </w:tc>
        <w:tc>
          <w:tcPr>
            <w:tcW w:w="4560" w:type="dxa"/>
          </w:tcPr>
          <w:p>
            <w:pPr>
              <w:spacing w:line="286" w:lineRule="auto"/>
              <w:rPr>
                <w:szCs w:val="21"/>
              </w:rPr>
            </w:pPr>
            <w:r>
              <w:rPr>
                <w:szCs w:val="21"/>
              </w:rPr>
              <w:t>16</w:t>
            </w:r>
            <w:r>
              <w:rPr>
                <w:rFonts w:hint="eastAsia"/>
                <w:szCs w:val="21"/>
              </w:rPr>
              <w:t>．</w:t>
            </w:r>
            <w:r>
              <w:rPr>
                <w:szCs w:val="21"/>
              </w:rPr>
              <w:t>耳鼻咽喉科学</w:t>
            </w:r>
          </w:p>
        </w:tc>
      </w:tr>
      <w:tr>
        <w:tblPrEx>
          <w:tblCellMar>
            <w:top w:w="0" w:type="dxa"/>
            <w:left w:w="108" w:type="dxa"/>
            <w:bottom w:w="0" w:type="dxa"/>
            <w:right w:w="108" w:type="dxa"/>
          </w:tblCellMar>
        </w:tblPrEx>
        <w:trPr>
          <w:trHeight w:val="316" w:hRule="atLeast"/>
        </w:trPr>
        <w:tc>
          <w:tcPr>
            <w:tcW w:w="4560" w:type="dxa"/>
          </w:tcPr>
          <w:p>
            <w:pPr>
              <w:spacing w:line="286" w:lineRule="auto"/>
              <w:ind w:firstLine="420" w:firstLineChars="200"/>
              <w:rPr>
                <w:szCs w:val="21"/>
              </w:rPr>
            </w:pPr>
            <w:r>
              <w:rPr>
                <w:szCs w:val="21"/>
              </w:rPr>
              <w:t>5</w:t>
            </w:r>
            <w:r>
              <w:rPr>
                <w:rFonts w:hint="eastAsia"/>
                <w:szCs w:val="21"/>
              </w:rPr>
              <w:t>．</w:t>
            </w:r>
            <w:r>
              <w:rPr>
                <w:szCs w:val="21"/>
              </w:rPr>
              <w:t>精神病与精神卫生学</w:t>
            </w:r>
          </w:p>
        </w:tc>
        <w:tc>
          <w:tcPr>
            <w:tcW w:w="4560" w:type="dxa"/>
          </w:tcPr>
          <w:p>
            <w:pPr>
              <w:spacing w:line="286" w:lineRule="auto"/>
              <w:rPr>
                <w:szCs w:val="21"/>
              </w:rPr>
            </w:pPr>
            <w:r>
              <w:rPr>
                <w:szCs w:val="21"/>
              </w:rPr>
              <w:t>17</w:t>
            </w:r>
            <w:r>
              <w:rPr>
                <w:rFonts w:hint="eastAsia"/>
                <w:szCs w:val="21"/>
              </w:rPr>
              <w:t>．</w:t>
            </w:r>
            <w:r>
              <w:rPr>
                <w:szCs w:val="21"/>
              </w:rPr>
              <w:t>麻醉学</w:t>
            </w:r>
          </w:p>
        </w:tc>
      </w:tr>
      <w:tr>
        <w:tblPrEx>
          <w:tblCellMar>
            <w:top w:w="0" w:type="dxa"/>
            <w:left w:w="108" w:type="dxa"/>
            <w:bottom w:w="0" w:type="dxa"/>
            <w:right w:w="108" w:type="dxa"/>
          </w:tblCellMar>
        </w:tblPrEx>
        <w:trPr>
          <w:trHeight w:val="316" w:hRule="atLeast"/>
        </w:trPr>
        <w:tc>
          <w:tcPr>
            <w:tcW w:w="4560" w:type="dxa"/>
          </w:tcPr>
          <w:p>
            <w:pPr>
              <w:spacing w:line="286" w:lineRule="auto"/>
              <w:ind w:firstLine="420" w:firstLineChars="200"/>
              <w:rPr>
                <w:szCs w:val="21"/>
              </w:rPr>
            </w:pPr>
            <w:r>
              <w:rPr>
                <w:szCs w:val="21"/>
              </w:rPr>
              <w:t>6</w:t>
            </w:r>
            <w:r>
              <w:rPr>
                <w:rFonts w:hint="eastAsia"/>
                <w:szCs w:val="21"/>
              </w:rPr>
              <w:t>．</w:t>
            </w:r>
            <w:r>
              <w:rPr>
                <w:szCs w:val="21"/>
              </w:rPr>
              <w:t>皮肤病与性病学</w:t>
            </w:r>
          </w:p>
        </w:tc>
        <w:tc>
          <w:tcPr>
            <w:tcW w:w="4560" w:type="dxa"/>
          </w:tcPr>
          <w:p>
            <w:pPr>
              <w:spacing w:line="286" w:lineRule="auto"/>
              <w:rPr>
                <w:szCs w:val="21"/>
              </w:rPr>
            </w:pPr>
            <w:r>
              <w:rPr>
                <w:szCs w:val="21"/>
              </w:rPr>
              <w:t>18</w:t>
            </w:r>
            <w:r>
              <w:rPr>
                <w:rFonts w:hint="eastAsia"/>
                <w:szCs w:val="21"/>
              </w:rPr>
              <w:t>．</w:t>
            </w:r>
            <w:r>
              <w:rPr>
                <w:szCs w:val="21"/>
              </w:rPr>
              <w:t>临床病理学</w:t>
            </w:r>
          </w:p>
        </w:tc>
      </w:tr>
      <w:tr>
        <w:tblPrEx>
          <w:tblCellMar>
            <w:top w:w="0" w:type="dxa"/>
            <w:left w:w="108" w:type="dxa"/>
            <w:bottom w:w="0" w:type="dxa"/>
            <w:right w:w="108" w:type="dxa"/>
          </w:tblCellMar>
        </w:tblPrEx>
        <w:trPr>
          <w:trHeight w:val="2159" w:hRule="atLeast"/>
        </w:trPr>
        <w:tc>
          <w:tcPr>
            <w:tcW w:w="4560" w:type="dxa"/>
          </w:tcPr>
          <w:p>
            <w:pPr>
              <w:spacing w:line="286" w:lineRule="auto"/>
              <w:ind w:firstLine="420" w:firstLineChars="200"/>
              <w:rPr>
                <w:szCs w:val="21"/>
              </w:rPr>
            </w:pPr>
            <w:r>
              <w:rPr>
                <w:szCs w:val="21"/>
              </w:rPr>
              <w:t>7</w:t>
            </w:r>
            <w:r>
              <w:rPr>
                <w:rFonts w:hint="eastAsia"/>
                <w:szCs w:val="21"/>
              </w:rPr>
              <w:t>．</w:t>
            </w:r>
            <w:r>
              <w:rPr>
                <w:szCs w:val="21"/>
              </w:rPr>
              <w:t>急诊医学</w:t>
            </w:r>
          </w:p>
          <w:p>
            <w:pPr>
              <w:spacing w:line="286" w:lineRule="auto"/>
              <w:ind w:firstLine="420" w:firstLineChars="200"/>
              <w:rPr>
                <w:szCs w:val="21"/>
              </w:rPr>
            </w:pPr>
            <w:r>
              <w:rPr>
                <w:szCs w:val="21"/>
              </w:rPr>
              <w:t>8</w:t>
            </w:r>
            <w:r>
              <w:rPr>
                <w:rFonts w:hint="eastAsia"/>
                <w:szCs w:val="21"/>
              </w:rPr>
              <w:t>．重症</w:t>
            </w:r>
            <w:r>
              <w:rPr>
                <w:szCs w:val="21"/>
              </w:rPr>
              <w:t>医学</w:t>
            </w:r>
          </w:p>
          <w:p>
            <w:pPr>
              <w:spacing w:line="286" w:lineRule="auto"/>
              <w:ind w:firstLine="420" w:firstLineChars="200"/>
              <w:rPr>
                <w:szCs w:val="21"/>
              </w:rPr>
            </w:pPr>
            <w:r>
              <w:rPr>
                <w:szCs w:val="21"/>
              </w:rPr>
              <w:t>9</w:t>
            </w:r>
            <w:r>
              <w:rPr>
                <w:rFonts w:hint="eastAsia"/>
                <w:szCs w:val="21"/>
              </w:rPr>
              <w:t>．</w:t>
            </w:r>
            <w:r>
              <w:rPr>
                <w:szCs w:val="21"/>
              </w:rPr>
              <w:t>全科医学</w:t>
            </w:r>
          </w:p>
          <w:p>
            <w:pPr>
              <w:spacing w:line="286" w:lineRule="auto"/>
              <w:ind w:firstLine="420" w:firstLineChars="200"/>
              <w:rPr>
                <w:szCs w:val="21"/>
              </w:rPr>
            </w:pPr>
            <w:r>
              <w:rPr>
                <w:szCs w:val="21"/>
              </w:rPr>
              <w:t>10</w:t>
            </w:r>
            <w:r>
              <w:rPr>
                <w:rFonts w:hint="eastAsia"/>
                <w:szCs w:val="21"/>
              </w:rPr>
              <w:t>．</w:t>
            </w:r>
            <w:r>
              <w:rPr>
                <w:szCs w:val="21"/>
              </w:rPr>
              <w:t>康复医学与理疗学</w:t>
            </w:r>
          </w:p>
          <w:p>
            <w:pPr>
              <w:spacing w:line="286" w:lineRule="auto"/>
              <w:ind w:firstLine="420" w:firstLineChars="200"/>
              <w:rPr>
                <w:szCs w:val="21"/>
              </w:rPr>
            </w:pPr>
            <w:r>
              <w:rPr>
                <w:szCs w:val="21"/>
              </w:rPr>
              <w:t>11</w:t>
            </w:r>
            <w:r>
              <w:rPr>
                <w:rFonts w:hint="eastAsia"/>
                <w:szCs w:val="21"/>
              </w:rPr>
              <w:t>．</w:t>
            </w:r>
            <w:r>
              <w:rPr>
                <w:szCs w:val="21"/>
              </w:rPr>
              <w:t>外科学</w:t>
            </w:r>
          </w:p>
          <w:p>
            <w:pPr>
              <w:spacing w:line="286" w:lineRule="auto"/>
              <w:ind w:firstLine="420" w:firstLineChars="200"/>
              <w:rPr>
                <w:szCs w:val="21"/>
              </w:rPr>
            </w:pPr>
            <w:r>
              <w:rPr>
                <w:szCs w:val="21"/>
              </w:rPr>
              <w:t>12</w:t>
            </w:r>
            <w:r>
              <w:rPr>
                <w:rFonts w:hint="eastAsia"/>
                <w:szCs w:val="21"/>
              </w:rPr>
              <w:t>．儿</w:t>
            </w:r>
            <w:r>
              <w:rPr>
                <w:szCs w:val="21"/>
              </w:rPr>
              <w:t>外科学</w:t>
            </w:r>
          </w:p>
        </w:tc>
        <w:tc>
          <w:tcPr>
            <w:tcW w:w="4560" w:type="dxa"/>
          </w:tcPr>
          <w:p>
            <w:pPr>
              <w:spacing w:line="286" w:lineRule="auto"/>
              <w:rPr>
                <w:szCs w:val="21"/>
              </w:rPr>
            </w:pPr>
            <w:r>
              <w:rPr>
                <w:szCs w:val="21"/>
              </w:rPr>
              <w:t>19</w:t>
            </w:r>
            <w:r>
              <w:rPr>
                <w:rFonts w:hint="eastAsia"/>
                <w:szCs w:val="21"/>
              </w:rPr>
              <w:t>．</w:t>
            </w:r>
            <w:r>
              <w:rPr>
                <w:szCs w:val="21"/>
              </w:rPr>
              <w:t>临床检验诊断学</w:t>
            </w:r>
          </w:p>
          <w:p>
            <w:pPr>
              <w:spacing w:line="286" w:lineRule="auto"/>
              <w:rPr>
                <w:szCs w:val="21"/>
              </w:rPr>
            </w:pPr>
            <w:r>
              <w:rPr>
                <w:szCs w:val="21"/>
              </w:rPr>
              <w:t>20</w:t>
            </w:r>
            <w:r>
              <w:rPr>
                <w:rFonts w:hint="eastAsia"/>
                <w:szCs w:val="21"/>
              </w:rPr>
              <w:t>．</w:t>
            </w:r>
            <w:r>
              <w:rPr>
                <w:szCs w:val="21"/>
              </w:rPr>
              <w:t>肿瘤学</w:t>
            </w:r>
          </w:p>
          <w:p>
            <w:pPr>
              <w:spacing w:line="286" w:lineRule="auto"/>
              <w:rPr>
                <w:szCs w:val="21"/>
              </w:rPr>
            </w:pPr>
            <w:r>
              <w:rPr>
                <w:szCs w:val="21"/>
              </w:rPr>
              <w:t>21</w:t>
            </w:r>
            <w:r>
              <w:rPr>
                <w:rFonts w:hint="eastAsia"/>
                <w:szCs w:val="21"/>
              </w:rPr>
              <w:t>．放射</w:t>
            </w:r>
            <w:r>
              <w:rPr>
                <w:szCs w:val="21"/>
              </w:rPr>
              <w:t>肿瘤学</w:t>
            </w:r>
          </w:p>
          <w:p>
            <w:pPr>
              <w:spacing w:line="286" w:lineRule="auto"/>
              <w:rPr>
                <w:szCs w:val="21"/>
              </w:rPr>
            </w:pPr>
            <w:r>
              <w:rPr>
                <w:szCs w:val="21"/>
              </w:rPr>
              <w:t>22</w:t>
            </w:r>
            <w:r>
              <w:rPr>
                <w:rFonts w:hint="eastAsia"/>
                <w:szCs w:val="21"/>
              </w:rPr>
              <w:t>．放射</w:t>
            </w:r>
            <w:r>
              <w:rPr>
                <w:szCs w:val="21"/>
              </w:rPr>
              <w:t>影像学</w:t>
            </w:r>
          </w:p>
          <w:p>
            <w:pPr>
              <w:spacing w:line="286" w:lineRule="auto"/>
              <w:rPr>
                <w:szCs w:val="21"/>
              </w:rPr>
            </w:pPr>
            <w:r>
              <w:rPr>
                <w:szCs w:val="21"/>
              </w:rPr>
              <w:t>23</w:t>
            </w:r>
            <w:r>
              <w:rPr>
                <w:rFonts w:hint="eastAsia"/>
                <w:szCs w:val="21"/>
              </w:rPr>
              <w:t>．超声</w:t>
            </w:r>
            <w:r>
              <w:rPr>
                <w:szCs w:val="21"/>
              </w:rPr>
              <w:t>医学</w:t>
            </w:r>
          </w:p>
          <w:p>
            <w:pPr>
              <w:spacing w:line="286" w:lineRule="auto"/>
              <w:rPr>
                <w:szCs w:val="21"/>
              </w:rPr>
            </w:pPr>
            <w:r>
              <w:rPr>
                <w:szCs w:val="21"/>
              </w:rPr>
              <w:t>24</w:t>
            </w:r>
            <w:r>
              <w:rPr>
                <w:rFonts w:hint="eastAsia"/>
                <w:szCs w:val="21"/>
              </w:rPr>
              <w:t>．核医学</w:t>
            </w:r>
          </w:p>
        </w:tc>
      </w:tr>
    </w:tbl>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r>
        <w:rPr>
          <w:rFonts w:ascii="黑体" w:hAnsi="黑体" w:eastAsia="黑体"/>
          <w:sz w:val="24"/>
          <w:szCs w:val="24"/>
        </w:rPr>
        <w:t>三、学习年限</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bCs/>
          <w:szCs w:val="21"/>
        </w:rPr>
      </w:pPr>
      <w:r>
        <w:rPr>
          <w:bCs/>
          <w:szCs w:val="21"/>
        </w:rPr>
        <w:t>学制3-5年。获得硕士学位，经由博士研究生入学考试录取的临床医学博士研究生学习年限不少于3年，第一年根据本人基础，补足本专业第一阶段培养方案中临床能力训练的要求，第二</w:t>
      </w:r>
      <w:r>
        <w:rPr>
          <w:rFonts w:hint="eastAsia"/>
          <w:bCs/>
          <w:szCs w:val="21"/>
        </w:rPr>
        <w:t>、</w:t>
      </w:r>
      <w:r>
        <w:rPr>
          <w:bCs/>
          <w:szCs w:val="21"/>
        </w:rPr>
        <w:t>三年按照本专业第二阶段培养方案进行培养。</w:t>
      </w:r>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r>
        <w:rPr>
          <w:rFonts w:ascii="黑体" w:hAnsi="黑体" w:eastAsia="黑体"/>
          <w:sz w:val="24"/>
          <w:szCs w:val="24"/>
        </w:rPr>
        <w:t>四、培养方式</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宋体" w:hAnsi="宋体"/>
          <w:szCs w:val="21"/>
        </w:rPr>
      </w:pPr>
      <w:r>
        <w:rPr>
          <w:szCs w:val="21"/>
        </w:rPr>
        <w:t>1．</w:t>
      </w:r>
      <w:r>
        <w:rPr>
          <w:rFonts w:ascii="宋体" w:hAnsi="宋体"/>
          <w:szCs w:val="21"/>
        </w:rPr>
        <w:t>导师小组联合指导，导师负责制。各系、中心应成立以博士生导师为</w:t>
      </w:r>
      <w:r>
        <w:rPr>
          <w:szCs w:val="21"/>
        </w:rPr>
        <w:t>主5</w:t>
      </w:r>
      <w:r>
        <w:rPr>
          <w:rFonts w:ascii="宋体" w:hAnsi="宋体"/>
          <w:szCs w:val="21"/>
        </w:rPr>
        <w:t>人指导小组及课题小组的有关成员，共同协助搞好</w:t>
      </w:r>
      <w:r>
        <w:rPr>
          <w:rFonts w:hint="eastAsia" w:ascii="宋体" w:hAnsi="宋体"/>
          <w:szCs w:val="21"/>
        </w:rPr>
        <w:t>博士</w:t>
      </w:r>
      <w:r>
        <w:rPr>
          <w:rFonts w:ascii="宋体" w:hAnsi="宋体"/>
          <w:szCs w:val="21"/>
        </w:rPr>
        <w:t>研究生的培养工作。</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宋体" w:hAnsi="宋体"/>
          <w:szCs w:val="21"/>
        </w:rPr>
      </w:pPr>
      <w:r>
        <w:rPr>
          <w:szCs w:val="21"/>
        </w:rPr>
        <w:t>2．</w:t>
      </w:r>
      <w:r>
        <w:rPr>
          <w:rFonts w:ascii="宋体" w:hAnsi="宋体"/>
          <w:szCs w:val="21"/>
        </w:rPr>
        <w:t>课程学习要满足需要的学分；课程包括本专业的基础和前沿课程和开展自己研究工作的必要知识和技术，可采用上课、学术报告、国际交流、讨论等方式。</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宋体" w:hAnsi="宋体"/>
          <w:szCs w:val="21"/>
        </w:rPr>
      </w:pPr>
      <w:r>
        <w:rPr>
          <w:szCs w:val="21"/>
        </w:rPr>
        <w:t>3．</w:t>
      </w:r>
      <w:r>
        <w:rPr>
          <w:rFonts w:ascii="宋体" w:hAnsi="宋体"/>
          <w:szCs w:val="21"/>
        </w:rPr>
        <w:t>积极鼓励学生参加会议、讲座等，展丰富多彩的科研活动，营造浓郁的科研氛围，提升学生的科研兴趣，增强学生解决重大科学问题的动力。</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宋体" w:hAnsi="宋体"/>
          <w:szCs w:val="21"/>
        </w:rPr>
      </w:pPr>
      <w:r>
        <w:rPr>
          <w:szCs w:val="21"/>
        </w:rPr>
        <w:t>4．</w:t>
      </w:r>
      <w:r>
        <w:rPr>
          <w:rFonts w:ascii="宋体" w:hAnsi="宋体"/>
          <w:szCs w:val="21"/>
        </w:rPr>
        <w:t>通过课题组、院系的科研汇报会、文献阅读会、小组讨论会，个别指导等形式，逐步强化学生的科研创新能力。</w:t>
      </w:r>
    </w:p>
    <w:p>
      <w:pPr>
        <w:keepNext w:val="0"/>
        <w:keepLines w:val="0"/>
        <w:pageBreakBefore w:val="0"/>
        <w:widowControl w:val="0"/>
        <w:tabs>
          <w:tab w:val="left" w:pos="3900"/>
        </w:tabs>
        <w:kinsoku/>
        <w:wordWrap/>
        <w:overflowPunct/>
        <w:topLinePunct w:val="0"/>
        <w:autoSpaceDE/>
        <w:autoSpaceDN/>
        <w:bidi w:val="0"/>
        <w:spacing w:line="300" w:lineRule="auto"/>
        <w:ind w:firstLine="420" w:firstLineChars="200"/>
        <w:textAlignment w:val="auto"/>
        <w:rPr>
          <w:rFonts w:ascii="宋体" w:hAnsi="宋体"/>
          <w:szCs w:val="21"/>
        </w:rPr>
      </w:pPr>
      <w:r>
        <w:rPr>
          <w:szCs w:val="21"/>
        </w:rPr>
        <w:t>5．</w:t>
      </w:r>
      <w:r>
        <w:rPr>
          <w:rFonts w:ascii="宋体" w:hAnsi="宋体"/>
          <w:szCs w:val="21"/>
        </w:rPr>
        <w:t>加强培养期间的过程管理，第一学年学习专业基础理论，掌握进行科研所必需的基本技能并写出文献综述。从第二年开始在导师指导下进入课题研究和学位论文准备阶段。</w:t>
      </w:r>
      <w:r>
        <w:rPr>
          <w:rFonts w:hint="eastAsia" w:ascii="宋体" w:hAnsi="宋体"/>
          <w:szCs w:val="21"/>
        </w:rPr>
        <w:t>博士生</w:t>
      </w:r>
      <w:r>
        <w:rPr>
          <w:rFonts w:ascii="宋体" w:hAnsi="宋体"/>
          <w:szCs w:val="21"/>
        </w:rPr>
        <w:t>应在第第四学年末完成博士中期考核。</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bCs/>
          <w:szCs w:val="21"/>
        </w:rPr>
      </w:pPr>
      <w:r>
        <w:rPr>
          <w:bCs/>
          <w:szCs w:val="21"/>
        </w:rPr>
        <w:t>6</w:t>
      </w:r>
      <w:r>
        <w:rPr>
          <w:rFonts w:hint="eastAsia"/>
          <w:bCs/>
          <w:szCs w:val="21"/>
        </w:rPr>
        <w:t>．</w:t>
      </w:r>
      <w:r>
        <w:rPr>
          <w:bCs/>
          <w:szCs w:val="21"/>
        </w:rPr>
        <w:t>思想品德考核：申请人在申请临床医学博士专业学位前，必须首先进行该项考核，考核通过，经所在学院主管部门审核合格者方可进行临床能力考核和学位论文答辩。</w:t>
      </w:r>
    </w:p>
    <w:p>
      <w:pPr>
        <w:keepNext w:val="0"/>
        <w:keepLines w:val="0"/>
        <w:pageBreakBefore w:val="0"/>
        <w:widowControl w:val="0"/>
        <w:kinsoku/>
        <w:wordWrap/>
        <w:overflowPunct/>
        <w:topLinePunct w:val="0"/>
        <w:autoSpaceDE/>
        <w:autoSpaceDN/>
        <w:bidi w:val="0"/>
        <w:adjustRightInd w:val="0"/>
        <w:snapToGrid w:val="0"/>
        <w:spacing w:line="300" w:lineRule="auto"/>
        <w:ind w:firstLine="422" w:firstLineChars="200"/>
        <w:textAlignment w:val="auto"/>
        <w:rPr>
          <w:bCs/>
          <w:szCs w:val="21"/>
        </w:rPr>
      </w:pPr>
      <w:r>
        <w:rPr>
          <w:b/>
          <w:bCs/>
          <w:szCs w:val="21"/>
        </w:rPr>
        <w:t>考核内容：</w:t>
      </w:r>
      <w:r>
        <w:rPr>
          <w:bCs/>
          <w:szCs w:val="21"/>
        </w:rPr>
        <w:t>（1</w:t>
      </w:r>
      <w:r>
        <w:rPr>
          <w:rFonts w:hint="eastAsia"/>
          <w:bCs/>
          <w:szCs w:val="21"/>
        </w:rPr>
        <w:t>）</w:t>
      </w:r>
      <w:r>
        <w:rPr>
          <w:bCs/>
          <w:szCs w:val="21"/>
        </w:rPr>
        <w:t>敬业精神和工作责任心；（2</w:t>
      </w:r>
      <w:r>
        <w:rPr>
          <w:rFonts w:hint="eastAsia"/>
          <w:bCs/>
          <w:szCs w:val="21"/>
        </w:rPr>
        <w:t>）</w:t>
      </w:r>
      <w:r>
        <w:rPr>
          <w:bCs/>
          <w:szCs w:val="21"/>
        </w:rPr>
        <w:t>医疗作风与科学作风；（3</w:t>
      </w:r>
      <w:r>
        <w:rPr>
          <w:rFonts w:hint="eastAsia"/>
          <w:bCs/>
          <w:szCs w:val="21"/>
        </w:rPr>
        <w:t>）</w:t>
      </w:r>
      <w:r>
        <w:rPr>
          <w:bCs/>
          <w:szCs w:val="21"/>
        </w:rPr>
        <w:t>医疗道德与服务态度；（4</w:t>
      </w:r>
      <w:r>
        <w:rPr>
          <w:rFonts w:hint="eastAsia"/>
          <w:bCs/>
          <w:szCs w:val="21"/>
        </w:rPr>
        <w:t>）</w:t>
      </w:r>
      <w:r>
        <w:rPr>
          <w:bCs/>
          <w:szCs w:val="21"/>
        </w:rPr>
        <w:t>团结协作与人际关系；（5</w:t>
      </w:r>
      <w:r>
        <w:rPr>
          <w:rFonts w:hint="eastAsia"/>
          <w:bCs/>
          <w:szCs w:val="21"/>
        </w:rPr>
        <w:t>）</w:t>
      </w:r>
      <w:r>
        <w:rPr>
          <w:bCs/>
          <w:szCs w:val="21"/>
        </w:rPr>
        <w:t>遵纪守法及劳动纪律。</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bCs/>
          <w:szCs w:val="21"/>
        </w:rPr>
      </w:pPr>
      <w:r>
        <w:rPr>
          <w:bCs/>
          <w:szCs w:val="21"/>
        </w:rPr>
        <w:t>7</w:t>
      </w:r>
      <w:r>
        <w:rPr>
          <w:rFonts w:hint="eastAsia"/>
          <w:bCs/>
          <w:szCs w:val="21"/>
        </w:rPr>
        <w:t>．</w:t>
      </w:r>
      <w:r>
        <w:rPr>
          <w:bCs/>
          <w:szCs w:val="21"/>
        </w:rPr>
        <w:t>临床综合能力考核：临床综合能力包括临床专业知识、临床分析能力、临床诊疗能力、临床技术操作能力，以及阅读专业外文文献的能力等等。针对博士生的培养要求，申请人在培养过程中以及申请学位时必须通过相应的考核。 临床综合能力考核采取定性与定量相结合、一次考核与平时考核相结合以及自我评价与专家考核相结合的方式。</w:t>
      </w:r>
    </w:p>
    <w:p>
      <w:pPr>
        <w:keepNext w:val="0"/>
        <w:keepLines w:val="0"/>
        <w:pageBreakBefore w:val="0"/>
        <w:widowControl w:val="0"/>
        <w:kinsoku/>
        <w:wordWrap/>
        <w:overflowPunct/>
        <w:topLinePunct w:val="0"/>
        <w:autoSpaceDE/>
        <w:autoSpaceDN/>
        <w:bidi w:val="0"/>
        <w:adjustRightInd w:val="0"/>
        <w:snapToGrid w:val="0"/>
        <w:spacing w:line="300" w:lineRule="auto"/>
        <w:ind w:firstLine="422" w:firstLineChars="200"/>
        <w:textAlignment w:val="auto"/>
        <w:rPr>
          <w:bCs/>
          <w:szCs w:val="21"/>
        </w:rPr>
      </w:pPr>
      <w:r>
        <w:rPr>
          <w:b/>
          <w:bCs/>
          <w:szCs w:val="21"/>
        </w:rPr>
        <w:t>考核内容：</w:t>
      </w:r>
      <w:r>
        <w:rPr>
          <w:bCs/>
          <w:szCs w:val="21"/>
        </w:rPr>
        <w:t>（1</w:t>
      </w:r>
      <w:r>
        <w:rPr>
          <w:rFonts w:hint="eastAsia"/>
          <w:bCs/>
          <w:szCs w:val="21"/>
        </w:rPr>
        <w:t>）</w:t>
      </w:r>
      <w:r>
        <w:rPr>
          <w:bCs/>
          <w:szCs w:val="21"/>
        </w:rPr>
        <w:t>转科考核：考查申请人在第一阶段是否按照培养方案完成各轮转科室的要求，是否掌握了本科室的基本理论和基本技能，是否具有良好的医德医风；（2</w:t>
      </w:r>
      <w:r>
        <w:rPr>
          <w:rFonts w:hint="eastAsia"/>
          <w:bCs/>
          <w:szCs w:val="21"/>
        </w:rPr>
        <w:t>）</w:t>
      </w:r>
      <w:r>
        <w:rPr>
          <w:bCs/>
          <w:szCs w:val="21"/>
        </w:rPr>
        <w:t>阶段考核：包括临床技能、临床思维能力、专业课及专业外语的考核。本考核既是临床能力训练第二阶段的合格考核，也是学位课程考试，同时也作为临床医学博士专业学位申请人的临床能力毕业考核，申请人转科考核及思想品德考核合格后，方可进行阶段考核。</w:t>
      </w:r>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r>
        <w:rPr>
          <w:rFonts w:hint="eastAsia" w:ascii="黑体" w:hAnsi="黑体" w:eastAsia="黑体"/>
          <w:sz w:val="24"/>
          <w:szCs w:val="24"/>
        </w:rPr>
        <w:t>五、课</w:t>
      </w:r>
      <w:r>
        <w:rPr>
          <w:rFonts w:ascii="黑体" w:hAnsi="黑体" w:eastAsia="黑体"/>
          <w:sz w:val="24"/>
          <w:szCs w:val="24"/>
        </w:rPr>
        <w:t>程设置及学分要求（</w:t>
      </w:r>
      <w:r>
        <w:rPr>
          <w:rFonts w:hint="eastAsia" w:ascii="黑体" w:hAnsi="黑体" w:eastAsia="黑体"/>
          <w:sz w:val="24"/>
          <w:szCs w:val="24"/>
        </w:rPr>
        <w:t>49</w:t>
      </w:r>
      <w:r>
        <w:rPr>
          <w:rFonts w:ascii="黑体" w:hAnsi="黑体" w:eastAsia="黑体"/>
          <w:sz w:val="24"/>
          <w:szCs w:val="24"/>
        </w:rPr>
        <w:t>学分）</w:t>
      </w:r>
    </w:p>
    <w:tbl>
      <w:tblPr>
        <w:tblStyle w:val="37"/>
        <w:tblW w:w="48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1120"/>
        <w:gridCol w:w="1264"/>
        <w:gridCol w:w="1301"/>
        <w:gridCol w:w="2182"/>
        <w:gridCol w:w="671"/>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6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
                <w:szCs w:val="21"/>
              </w:rPr>
            </w:pPr>
            <w:r>
              <w:rPr>
                <w:b/>
                <w:szCs w:val="21"/>
              </w:rPr>
              <w:t>课程类型</w:t>
            </w:r>
          </w:p>
        </w:tc>
        <w:tc>
          <w:tcPr>
            <w:tcW w:w="6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
                <w:szCs w:val="21"/>
              </w:rPr>
            </w:pPr>
            <w:r>
              <w:rPr>
                <w:b/>
                <w:szCs w:val="21"/>
              </w:rPr>
              <w:t>课程性质</w:t>
            </w:r>
          </w:p>
        </w:tc>
        <w:tc>
          <w:tcPr>
            <w:tcW w:w="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
                <w:szCs w:val="21"/>
              </w:rPr>
            </w:pPr>
            <w:r>
              <w:rPr>
                <w:b/>
                <w:szCs w:val="21"/>
              </w:rPr>
              <w:t>课程编号</w:t>
            </w:r>
          </w:p>
        </w:tc>
        <w:tc>
          <w:tcPr>
            <w:tcW w:w="7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
                <w:szCs w:val="21"/>
              </w:rPr>
            </w:pPr>
            <w:r>
              <w:rPr>
                <w:rFonts w:hint="eastAsia"/>
                <w:b/>
                <w:szCs w:val="21"/>
              </w:rPr>
              <w:t>统一编码</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
                <w:szCs w:val="21"/>
              </w:rPr>
            </w:pPr>
            <w:r>
              <w:rPr>
                <w:b/>
                <w:szCs w:val="21"/>
              </w:rPr>
              <w:t>课程名称</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
                <w:szCs w:val="21"/>
              </w:rPr>
            </w:pPr>
            <w:r>
              <w:rPr>
                <w:b/>
                <w:szCs w:val="21"/>
              </w:rPr>
              <w:t>学分</w:t>
            </w:r>
          </w:p>
        </w:tc>
        <w:tc>
          <w:tcPr>
            <w:tcW w:w="6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
                <w:szCs w:val="21"/>
              </w:rPr>
            </w:pPr>
            <w:r>
              <w:rPr>
                <w:b/>
                <w:szCs w:val="21"/>
              </w:rPr>
              <w:t>应修学分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left="105" w:leftChars="50"/>
              <w:textAlignment w:val="auto"/>
              <w:rPr>
                <w:szCs w:val="21"/>
              </w:rPr>
            </w:pPr>
          </w:p>
          <w:p>
            <w:pPr>
              <w:keepNext w:val="0"/>
              <w:keepLines w:val="0"/>
              <w:pageBreakBefore w:val="0"/>
              <w:kinsoku/>
              <w:wordWrap/>
              <w:overflowPunct/>
              <w:topLinePunct w:val="0"/>
              <w:autoSpaceDE/>
              <w:autoSpaceDN/>
              <w:bidi w:val="0"/>
              <w:adjustRightInd/>
              <w:snapToGrid/>
              <w:spacing w:line="240" w:lineRule="auto"/>
              <w:ind w:left="105" w:leftChars="50"/>
              <w:textAlignment w:val="auto"/>
              <w:rPr>
                <w:szCs w:val="21"/>
              </w:rPr>
            </w:pPr>
          </w:p>
          <w:p>
            <w:pPr>
              <w:keepNext w:val="0"/>
              <w:keepLines w:val="0"/>
              <w:pageBreakBefore w:val="0"/>
              <w:kinsoku/>
              <w:wordWrap/>
              <w:overflowPunct/>
              <w:topLinePunct w:val="0"/>
              <w:autoSpaceDE/>
              <w:autoSpaceDN/>
              <w:bidi w:val="0"/>
              <w:adjustRightInd/>
              <w:snapToGrid/>
              <w:spacing w:line="240" w:lineRule="auto"/>
              <w:ind w:left="105" w:leftChars="50"/>
              <w:textAlignment w:val="auto"/>
              <w:rPr>
                <w:szCs w:val="21"/>
              </w:rPr>
            </w:pPr>
            <w:r>
              <w:rPr>
                <w:rFonts w:hint="eastAsia"/>
                <w:szCs w:val="21"/>
              </w:rPr>
              <w:t>学位课</w:t>
            </w:r>
          </w:p>
          <w:p>
            <w:pPr>
              <w:keepNext w:val="0"/>
              <w:keepLines w:val="0"/>
              <w:pageBreakBefore w:val="0"/>
              <w:kinsoku/>
              <w:wordWrap/>
              <w:overflowPunct/>
              <w:topLinePunct w:val="0"/>
              <w:autoSpaceDE/>
              <w:autoSpaceDN/>
              <w:bidi w:val="0"/>
              <w:adjustRightInd/>
              <w:snapToGrid/>
              <w:spacing w:line="240" w:lineRule="auto"/>
              <w:ind w:left="105" w:leftChars="50"/>
              <w:textAlignment w:val="auto"/>
              <w:rPr>
                <w:szCs w:val="21"/>
              </w:rPr>
            </w:pPr>
          </w:p>
          <w:p>
            <w:pPr>
              <w:keepNext w:val="0"/>
              <w:keepLines w:val="0"/>
              <w:pageBreakBefore w:val="0"/>
              <w:kinsoku/>
              <w:wordWrap/>
              <w:overflowPunct/>
              <w:topLinePunct w:val="0"/>
              <w:autoSpaceDE/>
              <w:autoSpaceDN/>
              <w:bidi w:val="0"/>
              <w:adjustRightInd/>
              <w:snapToGrid/>
              <w:spacing w:line="240" w:lineRule="auto"/>
              <w:ind w:left="105" w:leftChars="50"/>
              <w:textAlignment w:val="auto"/>
              <w:rPr>
                <w:szCs w:val="21"/>
              </w:rPr>
            </w:pPr>
          </w:p>
          <w:p>
            <w:pPr>
              <w:keepNext w:val="0"/>
              <w:keepLines w:val="0"/>
              <w:pageBreakBefore w:val="0"/>
              <w:kinsoku/>
              <w:wordWrap/>
              <w:overflowPunct/>
              <w:topLinePunct w:val="0"/>
              <w:autoSpaceDE/>
              <w:autoSpaceDN/>
              <w:bidi w:val="0"/>
              <w:adjustRightInd/>
              <w:snapToGrid/>
              <w:spacing w:line="240" w:lineRule="auto"/>
              <w:ind w:left="105" w:leftChars="50"/>
              <w:textAlignment w:val="auto"/>
              <w:rPr>
                <w:szCs w:val="21"/>
              </w:rPr>
            </w:pPr>
          </w:p>
          <w:p>
            <w:pPr>
              <w:keepNext w:val="0"/>
              <w:keepLines w:val="0"/>
              <w:pageBreakBefore w:val="0"/>
              <w:kinsoku/>
              <w:wordWrap/>
              <w:overflowPunct/>
              <w:topLinePunct w:val="0"/>
              <w:autoSpaceDE/>
              <w:autoSpaceDN/>
              <w:bidi w:val="0"/>
              <w:adjustRightInd/>
              <w:snapToGrid/>
              <w:spacing w:line="240" w:lineRule="auto"/>
              <w:ind w:left="105" w:leftChars="50"/>
              <w:textAlignment w:val="auto"/>
              <w:rPr>
                <w:szCs w:val="21"/>
              </w:rPr>
            </w:pPr>
          </w:p>
          <w:p>
            <w:pPr>
              <w:keepNext w:val="0"/>
              <w:keepLines w:val="0"/>
              <w:pageBreakBefore w:val="0"/>
              <w:kinsoku/>
              <w:wordWrap/>
              <w:overflowPunct/>
              <w:topLinePunct w:val="0"/>
              <w:autoSpaceDE/>
              <w:autoSpaceDN/>
              <w:bidi w:val="0"/>
              <w:adjustRightInd/>
              <w:snapToGrid/>
              <w:spacing w:line="240" w:lineRule="auto"/>
              <w:ind w:left="105" w:leftChars="50"/>
              <w:textAlignment w:val="auto"/>
              <w:rPr>
                <w:szCs w:val="21"/>
              </w:rPr>
            </w:pPr>
          </w:p>
          <w:p>
            <w:pPr>
              <w:keepNext w:val="0"/>
              <w:keepLines w:val="0"/>
              <w:pageBreakBefore w:val="0"/>
              <w:kinsoku/>
              <w:wordWrap/>
              <w:overflowPunct/>
              <w:topLinePunct w:val="0"/>
              <w:autoSpaceDE/>
              <w:autoSpaceDN/>
              <w:bidi w:val="0"/>
              <w:adjustRightInd/>
              <w:snapToGrid/>
              <w:spacing w:line="240" w:lineRule="auto"/>
              <w:ind w:left="105" w:leftChars="50"/>
              <w:textAlignment w:val="auto"/>
              <w:rPr>
                <w:szCs w:val="21"/>
              </w:rPr>
            </w:pPr>
          </w:p>
          <w:p>
            <w:pPr>
              <w:keepNext w:val="0"/>
              <w:keepLines w:val="0"/>
              <w:pageBreakBefore w:val="0"/>
              <w:kinsoku/>
              <w:wordWrap/>
              <w:overflowPunct/>
              <w:topLinePunct w:val="0"/>
              <w:autoSpaceDE/>
              <w:autoSpaceDN/>
              <w:bidi w:val="0"/>
              <w:adjustRightInd/>
              <w:snapToGrid/>
              <w:spacing w:line="240" w:lineRule="auto"/>
              <w:ind w:left="105" w:leftChars="50"/>
              <w:textAlignment w:val="auto"/>
              <w:rPr>
                <w:szCs w:val="21"/>
              </w:rPr>
            </w:pPr>
          </w:p>
          <w:p>
            <w:pPr>
              <w:keepNext w:val="0"/>
              <w:keepLines w:val="0"/>
              <w:pageBreakBefore w:val="0"/>
              <w:kinsoku/>
              <w:wordWrap/>
              <w:overflowPunct/>
              <w:topLinePunct w:val="0"/>
              <w:autoSpaceDE/>
              <w:autoSpaceDN/>
              <w:bidi w:val="0"/>
              <w:adjustRightInd/>
              <w:snapToGrid/>
              <w:spacing w:line="240" w:lineRule="auto"/>
              <w:textAlignment w:val="auto"/>
              <w:rPr>
                <w:szCs w:val="21"/>
              </w:rPr>
            </w:pPr>
          </w:p>
          <w:p>
            <w:pPr>
              <w:keepNext w:val="0"/>
              <w:keepLines w:val="0"/>
              <w:pageBreakBefore w:val="0"/>
              <w:kinsoku/>
              <w:wordWrap/>
              <w:overflowPunct/>
              <w:topLinePunct w:val="0"/>
              <w:autoSpaceDE/>
              <w:autoSpaceDN/>
              <w:bidi w:val="0"/>
              <w:adjustRightInd/>
              <w:snapToGrid/>
              <w:spacing w:line="240" w:lineRule="auto"/>
              <w:textAlignment w:val="auto"/>
              <w:rPr>
                <w:szCs w:val="21"/>
              </w:rPr>
            </w:pPr>
          </w:p>
          <w:p>
            <w:pPr>
              <w:keepNext w:val="0"/>
              <w:keepLines w:val="0"/>
              <w:pageBreakBefore w:val="0"/>
              <w:kinsoku/>
              <w:wordWrap/>
              <w:overflowPunct/>
              <w:topLinePunct w:val="0"/>
              <w:autoSpaceDE/>
              <w:autoSpaceDN/>
              <w:bidi w:val="0"/>
              <w:adjustRightInd/>
              <w:snapToGrid/>
              <w:spacing w:line="240" w:lineRule="auto"/>
              <w:textAlignment w:val="auto"/>
              <w:rPr>
                <w:szCs w:val="21"/>
              </w:rPr>
            </w:pPr>
          </w:p>
          <w:p>
            <w:pPr>
              <w:keepNext w:val="0"/>
              <w:keepLines w:val="0"/>
              <w:pageBreakBefore w:val="0"/>
              <w:kinsoku/>
              <w:wordWrap/>
              <w:overflowPunct/>
              <w:topLinePunct w:val="0"/>
              <w:autoSpaceDE/>
              <w:autoSpaceDN/>
              <w:bidi w:val="0"/>
              <w:adjustRightInd/>
              <w:snapToGrid/>
              <w:spacing w:line="240" w:lineRule="auto"/>
              <w:textAlignment w:val="auto"/>
              <w:rPr>
                <w:szCs w:val="21"/>
              </w:rPr>
            </w:pPr>
          </w:p>
          <w:p>
            <w:pPr>
              <w:keepNext w:val="0"/>
              <w:keepLines w:val="0"/>
              <w:pageBreakBefore w:val="0"/>
              <w:kinsoku/>
              <w:wordWrap/>
              <w:overflowPunct/>
              <w:topLinePunct w:val="0"/>
              <w:autoSpaceDE/>
              <w:autoSpaceDN/>
              <w:bidi w:val="0"/>
              <w:adjustRightInd/>
              <w:snapToGrid/>
              <w:spacing w:line="240" w:lineRule="auto"/>
              <w:textAlignment w:val="auto"/>
              <w:rPr>
                <w:szCs w:val="21"/>
              </w:rPr>
            </w:pPr>
          </w:p>
          <w:p>
            <w:pPr>
              <w:keepNext w:val="0"/>
              <w:keepLines w:val="0"/>
              <w:pageBreakBefore w:val="0"/>
              <w:kinsoku/>
              <w:wordWrap/>
              <w:overflowPunct/>
              <w:topLinePunct w:val="0"/>
              <w:autoSpaceDE/>
              <w:autoSpaceDN/>
              <w:bidi w:val="0"/>
              <w:adjustRightInd/>
              <w:snapToGrid/>
              <w:spacing w:line="240" w:lineRule="auto"/>
              <w:textAlignment w:val="auto"/>
              <w:rPr>
                <w:szCs w:val="21"/>
              </w:rPr>
            </w:pPr>
          </w:p>
          <w:p>
            <w:pPr>
              <w:keepNext w:val="0"/>
              <w:keepLines w:val="0"/>
              <w:pageBreakBefore w:val="0"/>
              <w:kinsoku/>
              <w:wordWrap/>
              <w:overflowPunct/>
              <w:topLinePunct w:val="0"/>
              <w:autoSpaceDE/>
              <w:autoSpaceDN/>
              <w:bidi w:val="0"/>
              <w:adjustRightInd/>
              <w:snapToGrid/>
              <w:spacing w:line="240" w:lineRule="auto"/>
              <w:textAlignment w:val="auto"/>
              <w:rPr>
                <w:szCs w:val="21"/>
              </w:rPr>
            </w:pPr>
          </w:p>
          <w:p>
            <w:pPr>
              <w:keepNext w:val="0"/>
              <w:keepLines w:val="0"/>
              <w:pageBreakBefore w:val="0"/>
              <w:kinsoku/>
              <w:wordWrap/>
              <w:overflowPunct/>
              <w:topLinePunct w:val="0"/>
              <w:autoSpaceDE/>
              <w:autoSpaceDN/>
              <w:bidi w:val="0"/>
              <w:adjustRightInd/>
              <w:snapToGrid/>
              <w:spacing w:line="240" w:lineRule="auto"/>
              <w:textAlignment w:val="auto"/>
              <w:rPr>
                <w:szCs w:val="21"/>
              </w:rPr>
            </w:pPr>
          </w:p>
          <w:p>
            <w:pPr>
              <w:keepNext w:val="0"/>
              <w:keepLines w:val="0"/>
              <w:pageBreakBefore w:val="0"/>
              <w:kinsoku/>
              <w:wordWrap/>
              <w:overflowPunct/>
              <w:topLinePunct w:val="0"/>
              <w:autoSpaceDE/>
              <w:autoSpaceDN/>
              <w:bidi w:val="0"/>
              <w:adjustRightInd/>
              <w:snapToGrid/>
              <w:spacing w:line="240" w:lineRule="auto"/>
              <w:textAlignment w:val="auto"/>
              <w:rPr>
                <w:szCs w:val="21"/>
              </w:rPr>
            </w:pPr>
          </w:p>
          <w:p>
            <w:pPr>
              <w:keepNext w:val="0"/>
              <w:keepLines w:val="0"/>
              <w:pageBreakBefore w:val="0"/>
              <w:kinsoku/>
              <w:wordWrap/>
              <w:overflowPunct/>
              <w:topLinePunct w:val="0"/>
              <w:autoSpaceDE/>
              <w:autoSpaceDN/>
              <w:bidi w:val="0"/>
              <w:adjustRightInd/>
              <w:snapToGrid/>
              <w:spacing w:line="240" w:lineRule="auto"/>
              <w:textAlignment w:val="auto"/>
              <w:rPr>
                <w:szCs w:val="21"/>
              </w:rPr>
            </w:pPr>
          </w:p>
          <w:p>
            <w:pPr>
              <w:keepNext w:val="0"/>
              <w:keepLines w:val="0"/>
              <w:pageBreakBefore w:val="0"/>
              <w:kinsoku/>
              <w:wordWrap/>
              <w:overflowPunct/>
              <w:topLinePunct w:val="0"/>
              <w:autoSpaceDE/>
              <w:autoSpaceDN/>
              <w:bidi w:val="0"/>
              <w:adjustRightInd/>
              <w:snapToGrid/>
              <w:spacing w:line="240" w:lineRule="auto"/>
              <w:textAlignment w:val="auto"/>
              <w:rPr>
                <w:szCs w:val="21"/>
              </w:rPr>
            </w:pPr>
          </w:p>
          <w:p>
            <w:pPr>
              <w:keepNext w:val="0"/>
              <w:keepLines w:val="0"/>
              <w:pageBreakBefore w:val="0"/>
              <w:kinsoku/>
              <w:wordWrap/>
              <w:overflowPunct/>
              <w:topLinePunct w:val="0"/>
              <w:autoSpaceDE/>
              <w:autoSpaceDN/>
              <w:bidi w:val="0"/>
              <w:adjustRightInd/>
              <w:snapToGrid/>
              <w:spacing w:line="240" w:lineRule="auto"/>
              <w:textAlignment w:val="auto"/>
              <w:rPr>
                <w:szCs w:val="21"/>
              </w:rPr>
            </w:pPr>
          </w:p>
          <w:p>
            <w:pPr>
              <w:keepNext w:val="0"/>
              <w:keepLines w:val="0"/>
              <w:pageBreakBefore w:val="0"/>
              <w:kinsoku/>
              <w:wordWrap/>
              <w:overflowPunct/>
              <w:topLinePunct w:val="0"/>
              <w:autoSpaceDE/>
              <w:autoSpaceDN/>
              <w:bidi w:val="0"/>
              <w:adjustRightInd/>
              <w:snapToGrid/>
              <w:spacing w:line="240" w:lineRule="auto"/>
              <w:textAlignment w:val="auto"/>
              <w:rPr>
                <w:szCs w:val="21"/>
              </w:rPr>
            </w:pPr>
          </w:p>
          <w:p>
            <w:pPr>
              <w:keepNext w:val="0"/>
              <w:keepLines w:val="0"/>
              <w:pageBreakBefore w:val="0"/>
              <w:kinsoku/>
              <w:wordWrap/>
              <w:overflowPunct/>
              <w:topLinePunct w:val="0"/>
              <w:autoSpaceDE/>
              <w:autoSpaceDN/>
              <w:bidi w:val="0"/>
              <w:adjustRightInd/>
              <w:snapToGrid/>
              <w:spacing w:line="240" w:lineRule="auto"/>
              <w:textAlignment w:val="auto"/>
              <w:rPr>
                <w:szCs w:val="21"/>
              </w:rPr>
            </w:pPr>
          </w:p>
          <w:p>
            <w:pPr>
              <w:keepNext w:val="0"/>
              <w:keepLines w:val="0"/>
              <w:pageBreakBefore w:val="0"/>
              <w:kinsoku/>
              <w:wordWrap/>
              <w:overflowPunct/>
              <w:topLinePunct w:val="0"/>
              <w:autoSpaceDE/>
              <w:autoSpaceDN/>
              <w:bidi w:val="0"/>
              <w:adjustRightInd/>
              <w:snapToGrid/>
              <w:spacing w:line="240" w:lineRule="auto"/>
              <w:textAlignment w:val="auto"/>
              <w:rPr>
                <w:szCs w:val="21"/>
              </w:rPr>
            </w:pPr>
          </w:p>
          <w:p>
            <w:pPr>
              <w:keepNext w:val="0"/>
              <w:keepLines w:val="0"/>
              <w:pageBreakBefore w:val="0"/>
              <w:kinsoku/>
              <w:wordWrap/>
              <w:overflowPunct/>
              <w:topLinePunct w:val="0"/>
              <w:autoSpaceDE/>
              <w:autoSpaceDN/>
              <w:bidi w:val="0"/>
              <w:adjustRightInd/>
              <w:snapToGrid/>
              <w:spacing w:line="240" w:lineRule="auto"/>
              <w:textAlignment w:val="auto"/>
              <w:rPr>
                <w:szCs w:val="21"/>
              </w:rPr>
            </w:pPr>
          </w:p>
        </w:tc>
        <w:tc>
          <w:tcPr>
            <w:tcW w:w="636"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rFonts w:hint="eastAsia"/>
                <w:szCs w:val="21"/>
              </w:rPr>
              <w:t>校公共</w:t>
            </w:r>
          </w:p>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rFonts w:hint="eastAsia"/>
                <w:szCs w:val="21"/>
              </w:rPr>
              <w:t>学位课</w:t>
            </w:r>
          </w:p>
        </w:tc>
        <w:tc>
          <w:tcPr>
            <w:tcW w:w="718"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ascii="宋体" w:hAnsi="宋体"/>
                <w:szCs w:val="21"/>
              </w:rPr>
              <w:t>141006</w:t>
            </w:r>
          </w:p>
        </w:tc>
        <w:tc>
          <w:tcPr>
            <w:tcW w:w="739"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rFonts w:hint="eastAsia" w:ascii="宋体" w:hAnsi="宋体"/>
                <w:szCs w:val="21"/>
              </w:rPr>
              <w:t>MLMD600114</w:t>
            </w:r>
          </w:p>
        </w:tc>
        <w:tc>
          <w:tcPr>
            <w:tcW w:w="1239"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rFonts w:hint="eastAsia"/>
                <w:szCs w:val="21"/>
              </w:rPr>
              <w:t>中国马克思主义与当代</w:t>
            </w:r>
          </w:p>
        </w:tc>
        <w:tc>
          <w:tcPr>
            <w:tcW w:w="381"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rFonts w:hint="eastAsia"/>
                <w:szCs w:val="21"/>
              </w:rPr>
              <w:t>2</w:t>
            </w:r>
          </w:p>
        </w:tc>
        <w:tc>
          <w:tcPr>
            <w:tcW w:w="647"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p>
        </w:tc>
        <w:tc>
          <w:tcPr>
            <w:tcW w:w="636"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院公共</w:t>
            </w:r>
          </w:p>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学位课</w:t>
            </w:r>
          </w:p>
        </w:tc>
        <w:tc>
          <w:tcPr>
            <w:tcW w:w="718"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ascii="宋体" w:hAnsi="宋体"/>
                <w:szCs w:val="21"/>
              </w:rPr>
              <w:t>152078</w:t>
            </w:r>
          </w:p>
        </w:tc>
        <w:tc>
          <w:tcPr>
            <w:tcW w:w="739"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BASM6118</w:t>
            </w:r>
            <w:r>
              <w:rPr>
                <w:rFonts w:hint="eastAsia" w:ascii="宋体" w:hAnsi="宋体"/>
                <w:szCs w:val="21"/>
              </w:rPr>
              <w:t>15</w:t>
            </w:r>
          </w:p>
        </w:tc>
        <w:tc>
          <w:tcPr>
            <w:tcW w:w="1239"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szCs w:val="21"/>
              </w:rPr>
              <w:t>诺贝尔奖论文剖析</w:t>
            </w:r>
          </w:p>
        </w:tc>
        <w:tc>
          <w:tcPr>
            <w:tcW w:w="381"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2</w:t>
            </w:r>
          </w:p>
        </w:tc>
        <w:tc>
          <w:tcPr>
            <w:tcW w:w="647"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p>
        </w:tc>
        <w:tc>
          <w:tcPr>
            <w:tcW w:w="63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ascii="宋体" w:hAnsi="宋体"/>
                <w:szCs w:val="21"/>
              </w:rPr>
              <w:t>152138</w:t>
            </w:r>
          </w:p>
        </w:tc>
        <w:tc>
          <w:tcPr>
            <w:tcW w:w="7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ENGL8501</w:t>
            </w:r>
            <w:r>
              <w:rPr>
                <w:rFonts w:hint="eastAsia" w:ascii="宋体" w:hAnsi="宋体"/>
                <w:szCs w:val="21"/>
              </w:rPr>
              <w:t>15</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szCs w:val="21"/>
              </w:rPr>
              <w:t>医学专业英语（3）</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2</w:t>
            </w:r>
          </w:p>
        </w:tc>
        <w:tc>
          <w:tcPr>
            <w:tcW w:w="647"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p>
        </w:tc>
        <w:tc>
          <w:tcPr>
            <w:tcW w:w="636" w:type="pct"/>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专业必修课</w:t>
            </w:r>
          </w:p>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ascii="宋体" w:hAnsi="宋体"/>
                <w:szCs w:val="21"/>
              </w:rPr>
              <w:t>152102</w:t>
            </w:r>
          </w:p>
        </w:tc>
        <w:tc>
          <w:tcPr>
            <w:tcW w:w="7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CLIM7108</w:t>
            </w:r>
            <w:r>
              <w:rPr>
                <w:rFonts w:hint="eastAsia" w:ascii="宋体" w:hAnsi="宋体"/>
                <w:szCs w:val="21"/>
              </w:rPr>
              <w:t>15</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szCs w:val="21"/>
              </w:rPr>
              <w:t>内科学（2）</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2</w:t>
            </w:r>
          </w:p>
        </w:tc>
        <w:tc>
          <w:tcPr>
            <w:tcW w:w="647"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rFonts w:hint="eastAsia"/>
                <w:szCs w:val="21"/>
              </w:rPr>
              <w:t>根据学生的专业选修</w:t>
            </w:r>
            <w:r>
              <w:rPr>
                <w:szCs w:val="21"/>
              </w:rPr>
              <w:t>2</w:t>
            </w:r>
            <w:r>
              <w:rPr>
                <w:rFonts w:hint="eastAsia"/>
                <w:szCs w:val="21"/>
              </w:rPr>
              <w:t>学分</w:t>
            </w:r>
          </w:p>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p>
        </w:tc>
        <w:tc>
          <w:tcPr>
            <w:tcW w:w="63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ascii="宋体" w:hAnsi="宋体"/>
                <w:szCs w:val="21"/>
              </w:rPr>
              <w:t>152105</w:t>
            </w:r>
          </w:p>
        </w:tc>
        <w:tc>
          <w:tcPr>
            <w:tcW w:w="7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CLIM7111</w:t>
            </w:r>
            <w:r>
              <w:rPr>
                <w:rFonts w:hint="eastAsia" w:ascii="宋体" w:hAnsi="宋体"/>
                <w:szCs w:val="21"/>
              </w:rPr>
              <w:t>15</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szCs w:val="21"/>
              </w:rPr>
              <w:t>儿科学（2）</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2</w:t>
            </w:r>
          </w:p>
        </w:tc>
        <w:tc>
          <w:tcPr>
            <w:tcW w:w="64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p>
        </w:tc>
        <w:tc>
          <w:tcPr>
            <w:tcW w:w="63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ascii="宋体" w:hAnsi="宋体"/>
                <w:szCs w:val="21"/>
              </w:rPr>
              <w:t>152130</w:t>
            </w:r>
          </w:p>
        </w:tc>
        <w:tc>
          <w:tcPr>
            <w:tcW w:w="7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CLIM7117</w:t>
            </w:r>
            <w:r>
              <w:rPr>
                <w:rFonts w:hint="eastAsia" w:ascii="宋体" w:hAnsi="宋体"/>
                <w:szCs w:val="21"/>
              </w:rPr>
              <w:t>15</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szCs w:val="21"/>
              </w:rPr>
              <w:t>老年医学（2）</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2</w:t>
            </w:r>
          </w:p>
        </w:tc>
        <w:tc>
          <w:tcPr>
            <w:tcW w:w="64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p>
        </w:tc>
        <w:tc>
          <w:tcPr>
            <w:tcW w:w="63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ascii="宋体" w:hAnsi="宋体"/>
                <w:szCs w:val="21"/>
              </w:rPr>
              <w:t>152104</w:t>
            </w:r>
          </w:p>
        </w:tc>
        <w:tc>
          <w:tcPr>
            <w:tcW w:w="7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CLIM7110</w:t>
            </w:r>
            <w:r>
              <w:rPr>
                <w:rFonts w:hint="eastAsia" w:ascii="宋体" w:hAnsi="宋体"/>
                <w:szCs w:val="21"/>
              </w:rPr>
              <w:t>15</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szCs w:val="21"/>
              </w:rPr>
              <w:t>神经病学（2）</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2</w:t>
            </w:r>
          </w:p>
        </w:tc>
        <w:tc>
          <w:tcPr>
            <w:tcW w:w="64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p>
        </w:tc>
        <w:tc>
          <w:tcPr>
            <w:tcW w:w="63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ascii="宋体" w:hAnsi="宋体"/>
                <w:szCs w:val="21"/>
              </w:rPr>
              <w:t>152108</w:t>
            </w:r>
          </w:p>
        </w:tc>
        <w:tc>
          <w:tcPr>
            <w:tcW w:w="7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CLIM7113</w:t>
            </w:r>
            <w:r>
              <w:rPr>
                <w:rFonts w:hint="eastAsia" w:ascii="宋体" w:hAnsi="宋体"/>
                <w:szCs w:val="21"/>
              </w:rPr>
              <w:t>15</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szCs w:val="21"/>
              </w:rPr>
              <w:t>精神病与精神卫生学（2）</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2</w:t>
            </w:r>
          </w:p>
        </w:tc>
        <w:tc>
          <w:tcPr>
            <w:tcW w:w="64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p>
        </w:tc>
        <w:tc>
          <w:tcPr>
            <w:tcW w:w="63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ascii="宋体" w:hAnsi="宋体"/>
                <w:szCs w:val="21"/>
              </w:rPr>
              <w:t>152103</w:t>
            </w:r>
          </w:p>
        </w:tc>
        <w:tc>
          <w:tcPr>
            <w:tcW w:w="7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CLIM7109</w:t>
            </w:r>
            <w:r>
              <w:rPr>
                <w:rFonts w:hint="eastAsia" w:ascii="宋体" w:hAnsi="宋体"/>
                <w:szCs w:val="21"/>
              </w:rPr>
              <w:t>15</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szCs w:val="21"/>
              </w:rPr>
              <w:t>皮肤病与性病学（2）</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2</w:t>
            </w:r>
          </w:p>
        </w:tc>
        <w:tc>
          <w:tcPr>
            <w:tcW w:w="64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p>
        </w:tc>
        <w:tc>
          <w:tcPr>
            <w:tcW w:w="63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ascii="宋体" w:hAnsi="宋体"/>
                <w:szCs w:val="21"/>
              </w:rPr>
              <w:t>152114</w:t>
            </w:r>
          </w:p>
        </w:tc>
        <w:tc>
          <w:tcPr>
            <w:tcW w:w="7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CLIM7116</w:t>
            </w:r>
            <w:r>
              <w:rPr>
                <w:rFonts w:hint="eastAsia" w:ascii="宋体" w:hAnsi="宋体"/>
                <w:szCs w:val="21"/>
              </w:rPr>
              <w:t>15</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szCs w:val="21"/>
              </w:rPr>
              <w:t>临床检验诊断学（2）</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2</w:t>
            </w:r>
          </w:p>
        </w:tc>
        <w:tc>
          <w:tcPr>
            <w:tcW w:w="64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p>
        </w:tc>
        <w:tc>
          <w:tcPr>
            <w:tcW w:w="63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ascii="宋体" w:hAnsi="宋体"/>
                <w:szCs w:val="21"/>
              </w:rPr>
              <w:t>152106</w:t>
            </w:r>
          </w:p>
        </w:tc>
        <w:tc>
          <w:tcPr>
            <w:tcW w:w="7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CLIM7112</w:t>
            </w:r>
            <w:r>
              <w:rPr>
                <w:rFonts w:hint="eastAsia" w:ascii="宋体" w:hAnsi="宋体"/>
                <w:szCs w:val="21"/>
              </w:rPr>
              <w:t>15</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szCs w:val="21"/>
              </w:rPr>
              <w:t>外科学（2）</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2</w:t>
            </w:r>
          </w:p>
        </w:tc>
        <w:tc>
          <w:tcPr>
            <w:tcW w:w="64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p>
        </w:tc>
        <w:tc>
          <w:tcPr>
            <w:tcW w:w="63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ascii="宋体" w:hAnsi="宋体"/>
                <w:szCs w:val="21"/>
              </w:rPr>
              <w:t>152101</w:t>
            </w:r>
          </w:p>
        </w:tc>
        <w:tc>
          <w:tcPr>
            <w:tcW w:w="7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CLIM7107</w:t>
            </w:r>
            <w:r>
              <w:rPr>
                <w:rFonts w:hint="eastAsia" w:ascii="宋体" w:hAnsi="宋体"/>
                <w:szCs w:val="21"/>
              </w:rPr>
              <w:t>15</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szCs w:val="21"/>
              </w:rPr>
              <w:t>妇产科学（2）</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2</w:t>
            </w:r>
          </w:p>
        </w:tc>
        <w:tc>
          <w:tcPr>
            <w:tcW w:w="64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p>
        </w:tc>
        <w:tc>
          <w:tcPr>
            <w:tcW w:w="63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ascii="宋体" w:hAnsi="宋体"/>
                <w:szCs w:val="21"/>
              </w:rPr>
              <w:t>152099</w:t>
            </w:r>
          </w:p>
        </w:tc>
        <w:tc>
          <w:tcPr>
            <w:tcW w:w="7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CLIM7105</w:t>
            </w:r>
            <w:r>
              <w:rPr>
                <w:rFonts w:hint="eastAsia" w:ascii="宋体" w:hAnsi="宋体"/>
                <w:szCs w:val="21"/>
              </w:rPr>
              <w:t>15</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szCs w:val="21"/>
              </w:rPr>
              <w:t>眼科学（2）</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2</w:t>
            </w:r>
          </w:p>
        </w:tc>
        <w:tc>
          <w:tcPr>
            <w:tcW w:w="64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p>
        </w:tc>
        <w:tc>
          <w:tcPr>
            <w:tcW w:w="63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ascii="宋体" w:hAnsi="宋体"/>
                <w:szCs w:val="21"/>
              </w:rPr>
              <w:t>152097</w:t>
            </w:r>
          </w:p>
        </w:tc>
        <w:tc>
          <w:tcPr>
            <w:tcW w:w="7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CLIM7103</w:t>
            </w:r>
            <w:r>
              <w:rPr>
                <w:rFonts w:hint="eastAsia" w:ascii="宋体" w:hAnsi="宋体"/>
                <w:szCs w:val="21"/>
              </w:rPr>
              <w:t>15</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szCs w:val="21"/>
              </w:rPr>
              <w:t>耳鼻咽喉科学（2）</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2</w:t>
            </w:r>
          </w:p>
        </w:tc>
        <w:tc>
          <w:tcPr>
            <w:tcW w:w="64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p>
        </w:tc>
        <w:tc>
          <w:tcPr>
            <w:tcW w:w="63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ascii="宋体" w:hAnsi="宋体"/>
                <w:szCs w:val="21"/>
              </w:rPr>
              <w:t>152098</w:t>
            </w:r>
          </w:p>
        </w:tc>
        <w:tc>
          <w:tcPr>
            <w:tcW w:w="7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CLIM7104</w:t>
            </w:r>
            <w:r>
              <w:rPr>
                <w:rFonts w:hint="eastAsia" w:ascii="宋体" w:hAnsi="宋体"/>
                <w:szCs w:val="21"/>
              </w:rPr>
              <w:t>15</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szCs w:val="21"/>
              </w:rPr>
              <w:t>肿瘤学（2）</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2</w:t>
            </w:r>
          </w:p>
        </w:tc>
        <w:tc>
          <w:tcPr>
            <w:tcW w:w="64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p>
        </w:tc>
        <w:tc>
          <w:tcPr>
            <w:tcW w:w="63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ascii="宋体" w:hAnsi="宋体"/>
                <w:szCs w:val="21"/>
              </w:rPr>
              <w:t>152163</w:t>
            </w:r>
          </w:p>
        </w:tc>
        <w:tc>
          <w:tcPr>
            <w:tcW w:w="7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CLIM7118</w:t>
            </w:r>
            <w:r>
              <w:rPr>
                <w:rFonts w:hint="eastAsia" w:ascii="宋体" w:hAnsi="宋体"/>
                <w:szCs w:val="21"/>
              </w:rPr>
              <w:t>15</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szCs w:val="21"/>
              </w:rPr>
              <w:t>康复医学与理疗学（2）</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2</w:t>
            </w:r>
          </w:p>
        </w:tc>
        <w:tc>
          <w:tcPr>
            <w:tcW w:w="64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p>
        </w:tc>
        <w:tc>
          <w:tcPr>
            <w:tcW w:w="63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ascii="宋体" w:hAnsi="宋体"/>
                <w:szCs w:val="21"/>
              </w:rPr>
              <w:t>152100</w:t>
            </w:r>
          </w:p>
        </w:tc>
        <w:tc>
          <w:tcPr>
            <w:tcW w:w="7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CLIM7106</w:t>
            </w:r>
            <w:r>
              <w:rPr>
                <w:rFonts w:hint="eastAsia" w:ascii="宋体" w:hAnsi="宋体"/>
                <w:szCs w:val="21"/>
              </w:rPr>
              <w:t>15</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szCs w:val="21"/>
              </w:rPr>
              <w:t>麻醉学（2）</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2</w:t>
            </w:r>
          </w:p>
        </w:tc>
        <w:tc>
          <w:tcPr>
            <w:tcW w:w="64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p>
        </w:tc>
        <w:tc>
          <w:tcPr>
            <w:tcW w:w="63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ascii="宋体" w:hAnsi="宋体"/>
                <w:szCs w:val="21"/>
              </w:rPr>
              <w:t>152113</w:t>
            </w:r>
          </w:p>
        </w:tc>
        <w:tc>
          <w:tcPr>
            <w:tcW w:w="7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CLIM7115</w:t>
            </w:r>
            <w:r>
              <w:rPr>
                <w:rFonts w:hint="eastAsia" w:ascii="宋体" w:hAnsi="宋体"/>
                <w:szCs w:val="21"/>
              </w:rPr>
              <w:t>15</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szCs w:val="21"/>
              </w:rPr>
              <w:t>急诊医学（2）</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2</w:t>
            </w:r>
          </w:p>
        </w:tc>
        <w:tc>
          <w:tcPr>
            <w:tcW w:w="64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p>
        </w:tc>
        <w:tc>
          <w:tcPr>
            <w:tcW w:w="63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ascii="宋体" w:hAnsi="宋体"/>
                <w:szCs w:val="21"/>
              </w:rPr>
              <w:t>152169</w:t>
            </w:r>
          </w:p>
        </w:tc>
        <w:tc>
          <w:tcPr>
            <w:tcW w:w="7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CLIM7120</w:t>
            </w:r>
            <w:r>
              <w:rPr>
                <w:rFonts w:hint="eastAsia" w:ascii="宋体" w:hAnsi="宋体"/>
                <w:szCs w:val="21"/>
              </w:rPr>
              <w:t>15</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szCs w:val="21"/>
              </w:rPr>
              <w:t>全科医学（2）</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2</w:t>
            </w:r>
          </w:p>
        </w:tc>
        <w:tc>
          <w:tcPr>
            <w:tcW w:w="64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p>
        </w:tc>
        <w:tc>
          <w:tcPr>
            <w:tcW w:w="63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ascii="宋体" w:hAnsi="宋体"/>
                <w:szCs w:val="21"/>
              </w:rPr>
              <w:t>152170</w:t>
            </w:r>
          </w:p>
        </w:tc>
        <w:tc>
          <w:tcPr>
            <w:tcW w:w="7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CLIM7121</w:t>
            </w:r>
            <w:r>
              <w:rPr>
                <w:rFonts w:hint="eastAsia" w:ascii="宋体" w:hAnsi="宋体"/>
                <w:szCs w:val="21"/>
              </w:rPr>
              <w:t>15</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szCs w:val="21"/>
              </w:rPr>
              <w:t>临床病理学（2）</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2</w:t>
            </w:r>
          </w:p>
        </w:tc>
        <w:tc>
          <w:tcPr>
            <w:tcW w:w="64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p>
        </w:tc>
        <w:tc>
          <w:tcPr>
            <w:tcW w:w="63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szCs w:val="21"/>
              </w:rPr>
              <w:t>153042</w:t>
            </w:r>
          </w:p>
        </w:tc>
        <w:tc>
          <w:tcPr>
            <w:tcW w:w="7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CLIM7129</w:t>
            </w:r>
            <w:r>
              <w:rPr>
                <w:rFonts w:hint="eastAsia" w:ascii="宋体" w:hAnsi="宋体"/>
                <w:szCs w:val="21"/>
              </w:rPr>
              <w:t>15</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rFonts w:hint="eastAsia"/>
                <w:szCs w:val="21"/>
              </w:rPr>
              <w:t>重症</w:t>
            </w:r>
            <w:r>
              <w:rPr>
                <w:szCs w:val="21"/>
              </w:rPr>
              <w:t>医学（2）</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rFonts w:hint="eastAsia"/>
                <w:szCs w:val="21"/>
              </w:rPr>
              <w:t>2</w:t>
            </w:r>
          </w:p>
        </w:tc>
        <w:tc>
          <w:tcPr>
            <w:tcW w:w="64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p>
        </w:tc>
        <w:tc>
          <w:tcPr>
            <w:tcW w:w="63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szCs w:val="21"/>
              </w:rPr>
              <w:t>153040</w:t>
            </w:r>
          </w:p>
        </w:tc>
        <w:tc>
          <w:tcPr>
            <w:tcW w:w="7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CLIM7127</w:t>
            </w:r>
            <w:r>
              <w:rPr>
                <w:rFonts w:hint="eastAsia" w:ascii="宋体" w:hAnsi="宋体"/>
                <w:szCs w:val="21"/>
              </w:rPr>
              <w:t>15</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rFonts w:hint="eastAsia"/>
                <w:szCs w:val="21"/>
              </w:rPr>
              <w:t>儿</w:t>
            </w:r>
            <w:r>
              <w:rPr>
                <w:szCs w:val="21"/>
              </w:rPr>
              <w:t>外科学（2）</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rFonts w:hint="eastAsia"/>
                <w:szCs w:val="21"/>
              </w:rPr>
              <w:t>2</w:t>
            </w:r>
          </w:p>
        </w:tc>
        <w:tc>
          <w:tcPr>
            <w:tcW w:w="64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p>
        </w:tc>
        <w:tc>
          <w:tcPr>
            <w:tcW w:w="63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szCs w:val="21"/>
              </w:rPr>
              <w:t>152041</w:t>
            </w:r>
          </w:p>
        </w:tc>
        <w:tc>
          <w:tcPr>
            <w:tcW w:w="7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宋体" w:hAnsi="宋体"/>
                <w:szCs w:val="21"/>
              </w:rPr>
            </w:pPr>
            <w:r>
              <w:rPr>
                <w:szCs w:val="21"/>
              </w:rPr>
              <w:t>C</w:t>
            </w:r>
            <w:r>
              <w:rPr>
                <w:rFonts w:ascii="宋体" w:hAnsi="宋体"/>
                <w:szCs w:val="21"/>
              </w:rPr>
              <w:t>LIM7128</w:t>
            </w:r>
            <w:r>
              <w:rPr>
                <w:rFonts w:hint="eastAsia" w:ascii="宋体" w:hAnsi="宋体"/>
                <w:szCs w:val="21"/>
              </w:rPr>
              <w:t>15</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rFonts w:hint="eastAsia"/>
                <w:szCs w:val="21"/>
              </w:rPr>
              <w:t>骨科学</w:t>
            </w:r>
            <w:r>
              <w:rPr>
                <w:szCs w:val="21"/>
              </w:rPr>
              <w:t>（2）</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rFonts w:hint="eastAsia"/>
                <w:szCs w:val="21"/>
              </w:rPr>
              <w:t>2</w:t>
            </w:r>
          </w:p>
        </w:tc>
        <w:tc>
          <w:tcPr>
            <w:tcW w:w="64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p>
        </w:tc>
        <w:tc>
          <w:tcPr>
            <w:tcW w:w="63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szCs w:val="21"/>
              </w:rPr>
              <w:t>153039</w:t>
            </w:r>
          </w:p>
        </w:tc>
        <w:tc>
          <w:tcPr>
            <w:tcW w:w="7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CLIM7126</w:t>
            </w:r>
            <w:r>
              <w:rPr>
                <w:rFonts w:hint="eastAsia" w:ascii="宋体" w:hAnsi="宋体"/>
                <w:szCs w:val="21"/>
              </w:rPr>
              <w:t>15</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rFonts w:hint="eastAsia"/>
                <w:szCs w:val="21"/>
              </w:rPr>
              <w:t>放射</w:t>
            </w:r>
            <w:r>
              <w:rPr>
                <w:szCs w:val="21"/>
              </w:rPr>
              <w:t>肿瘤学（2）</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rFonts w:hint="eastAsia"/>
                <w:szCs w:val="21"/>
              </w:rPr>
              <w:t>2</w:t>
            </w:r>
          </w:p>
        </w:tc>
        <w:tc>
          <w:tcPr>
            <w:tcW w:w="64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p>
        </w:tc>
        <w:tc>
          <w:tcPr>
            <w:tcW w:w="63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szCs w:val="21"/>
              </w:rPr>
              <w:t>153036</w:t>
            </w:r>
          </w:p>
        </w:tc>
        <w:tc>
          <w:tcPr>
            <w:tcW w:w="7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CLIM7123</w:t>
            </w:r>
            <w:r>
              <w:rPr>
                <w:rFonts w:hint="eastAsia" w:ascii="宋体" w:hAnsi="宋体"/>
                <w:szCs w:val="21"/>
              </w:rPr>
              <w:t>15</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rFonts w:hint="eastAsia"/>
                <w:szCs w:val="21"/>
              </w:rPr>
              <w:t>放射</w:t>
            </w:r>
            <w:r>
              <w:rPr>
                <w:szCs w:val="21"/>
              </w:rPr>
              <w:t>影像学（2）</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rFonts w:hint="eastAsia"/>
                <w:szCs w:val="21"/>
              </w:rPr>
              <w:t>2</w:t>
            </w:r>
          </w:p>
        </w:tc>
        <w:tc>
          <w:tcPr>
            <w:tcW w:w="64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p>
        </w:tc>
        <w:tc>
          <w:tcPr>
            <w:tcW w:w="63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szCs w:val="21"/>
              </w:rPr>
              <w:t>153038</w:t>
            </w:r>
          </w:p>
        </w:tc>
        <w:tc>
          <w:tcPr>
            <w:tcW w:w="7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CLIM7125</w:t>
            </w:r>
            <w:r>
              <w:rPr>
                <w:rFonts w:hint="eastAsia" w:ascii="宋体" w:hAnsi="宋体"/>
                <w:szCs w:val="21"/>
              </w:rPr>
              <w:t>15</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rFonts w:hint="eastAsia"/>
                <w:szCs w:val="21"/>
              </w:rPr>
              <w:t>超声</w:t>
            </w:r>
            <w:r>
              <w:rPr>
                <w:szCs w:val="21"/>
              </w:rPr>
              <w:t>医学（2）</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rFonts w:hint="eastAsia"/>
                <w:szCs w:val="21"/>
              </w:rPr>
              <w:t>2</w:t>
            </w:r>
          </w:p>
        </w:tc>
        <w:tc>
          <w:tcPr>
            <w:tcW w:w="64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p>
        </w:tc>
        <w:tc>
          <w:tcPr>
            <w:tcW w:w="63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szCs w:val="21"/>
              </w:rPr>
              <w:t>153037</w:t>
            </w:r>
          </w:p>
        </w:tc>
        <w:tc>
          <w:tcPr>
            <w:tcW w:w="7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CLIM7124</w:t>
            </w:r>
            <w:r>
              <w:rPr>
                <w:rFonts w:hint="eastAsia" w:ascii="宋体" w:hAnsi="宋体"/>
                <w:szCs w:val="21"/>
              </w:rPr>
              <w:t>15</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rFonts w:hint="eastAsia"/>
                <w:szCs w:val="21"/>
              </w:rPr>
              <w:t>核医学</w:t>
            </w:r>
            <w:r>
              <w:rPr>
                <w:szCs w:val="21"/>
              </w:rPr>
              <w:t>（2）</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rFonts w:hint="eastAsia"/>
                <w:szCs w:val="21"/>
              </w:rPr>
              <w:t>2</w:t>
            </w:r>
          </w:p>
        </w:tc>
        <w:tc>
          <w:tcPr>
            <w:tcW w:w="64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p>
        </w:tc>
        <w:tc>
          <w:tcPr>
            <w:tcW w:w="636" w:type="pct"/>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临床实践</w:t>
            </w:r>
          </w:p>
        </w:tc>
        <w:tc>
          <w:tcPr>
            <w:tcW w:w="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ascii="宋体" w:hAnsi="宋体"/>
                <w:szCs w:val="21"/>
              </w:rPr>
              <w:t>152134</w:t>
            </w:r>
          </w:p>
        </w:tc>
        <w:tc>
          <w:tcPr>
            <w:tcW w:w="7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CLIM8501</w:t>
            </w:r>
            <w:r>
              <w:rPr>
                <w:rFonts w:hint="eastAsia" w:ascii="宋体" w:hAnsi="宋体"/>
                <w:szCs w:val="21"/>
              </w:rPr>
              <w:t>15</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szCs w:val="21"/>
              </w:rPr>
              <w:t>临床技能（3）</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11</w:t>
            </w:r>
          </w:p>
        </w:tc>
        <w:tc>
          <w:tcPr>
            <w:tcW w:w="647" w:type="pct"/>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p>
        </w:tc>
        <w:tc>
          <w:tcPr>
            <w:tcW w:w="63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ascii="宋体" w:hAnsi="宋体"/>
                <w:szCs w:val="21"/>
              </w:rPr>
              <w:t>152135</w:t>
            </w:r>
          </w:p>
        </w:tc>
        <w:tc>
          <w:tcPr>
            <w:tcW w:w="7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CLIM8502</w:t>
            </w:r>
            <w:r>
              <w:rPr>
                <w:rFonts w:hint="eastAsia" w:ascii="宋体" w:hAnsi="宋体"/>
                <w:szCs w:val="21"/>
              </w:rPr>
              <w:t>15</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szCs w:val="21"/>
              </w:rPr>
              <w:t>临床思维能力（3）</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10</w:t>
            </w:r>
          </w:p>
        </w:tc>
        <w:tc>
          <w:tcPr>
            <w:tcW w:w="647" w:type="pct"/>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选修课</w:t>
            </w:r>
          </w:p>
        </w:tc>
        <w:tc>
          <w:tcPr>
            <w:tcW w:w="636"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专业选修课</w:t>
            </w:r>
          </w:p>
        </w:tc>
        <w:tc>
          <w:tcPr>
            <w:tcW w:w="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p>
        </w:tc>
        <w:tc>
          <w:tcPr>
            <w:tcW w:w="7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szCs w:val="21"/>
              </w:rPr>
              <w:t>研究生课程目录上选修</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≥4</w:t>
            </w:r>
          </w:p>
        </w:tc>
        <w:tc>
          <w:tcPr>
            <w:tcW w:w="64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必修环节</w:t>
            </w:r>
          </w:p>
        </w:tc>
        <w:tc>
          <w:tcPr>
            <w:tcW w:w="636"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w:t>
            </w:r>
          </w:p>
        </w:tc>
        <w:tc>
          <w:tcPr>
            <w:tcW w:w="718"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ascii="宋体" w:hAnsi="宋体"/>
                <w:szCs w:val="21"/>
              </w:rPr>
              <w:t>001999</w:t>
            </w:r>
          </w:p>
        </w:tc>
        <w:tc>
          <w:tcPr>
            <w:tcW w:w="739"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BXHJ8003</w:t>
            </w:r>
            <w:r>
              <w:rPr>
                <w:rFonts w:hint="eastAsia" w:ascii="宋体" w:hAnsi="宋体"/>
                <w:szCs w:val="21"/>
              </w:rPr>
              <w:t>99</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szCs w:val="21"/>
              </w:rPr>
              <w:t>学术活动（讲座）博</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2</w:t>
            </w:r>
          </w:p>
        </w:tc>
        <w:tc>
          <w:tcPr>
            <w:tcW w:w="647"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rFonts w:hint="eastAsia"/>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63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718"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ascii="宋体" w:hAnsi="宋体"/>
                <w:szCs w:val="21"/>
              </w:rPr>
              <w:t>001986</w:t>
            </w:r>
          </w:p>
        </w:tc>
        <w:tc>
          <w:tcPr>
            <w:tcW w:w="739"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BXHJ8004</w:t>
            </w:r>
            <w:r>
              <w:rPr>
                <w:rFonts w:hint="eastAsia" w:ascii="宋体" w:hAnsi="宋体"/>
                <w:szCs w:val="21"/>
              </w:rPr>
              <w:t>99</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szCs w:val="21"/>
              </w:rPr>
              <w:t>开题报告（博）</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2</w:t>
            </w:r>
          </w:p>
        </w:tc>
        <w:tc>
          <w:tcPr>
            <w:tcW w:w="64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63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718"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ascii="宋体" w:hAnsi="宋体"/>
                <w:szCs w:val="21"/>
              </w:rPr>
              <w:t>001994</w:t>
            </w:r>
          </w:p>
        </w:tc>
        <w:tc>
          <w:tcPr>
            <w:tcW w:w="739"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BXHJ8001</w:t>
            </w:r>
            <w:r>
              <w:rPr>
                <w:rFonts w:hint="eastAsia" w:ascii="宋体" w:hAnsi="宋体"/>
                <w:szCs w:val="21"/>
              </w:rPr>
              <w:t>99</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szCs w:val="21"/>
              </w:rPr>
              <w:t>中期考核（博）</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6</w:t>
            </w:r>
          </w:p>
        </w:tc>
        <w:tc>
          <w:tcPr>
            <w:tcW w:w="64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63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ascii="宋体" w:hAnsi="宋体"/>
                <w:szCs w:val="21"/>
              </w:rPr>
              <w:t>001995</w:t>
            </w:r>
          </w:p>
        </w:tc>
        <w:tc>
          <w:tcPr>
            <w:tcW w:w="7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BXHJ8002</w:t>
            </w:r>
            <w:r>
              <w:rPr>
                <w:rFonts w:hint="eastAsia" w:ascii="宋体" w:hAnsi="宋体"/>
                <w:szCs w:val="21"/>
              </w:rPr>
              <w:t>99</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szCs w:val="21"/>
              </w:rPr>
              <w:t>基金撰写</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1</w:t>
            </w:r>
          </w:p>
        </w:tc>
        <w:tc>
          <w:tcPr>
            <w:tcW w:w="64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63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ascii="宋体" w:hAnsi="宋体"/>
                <w:szCs w:val="21"/>
              </w:rPr>
              <w:t>001972</w:t>
            </w:r>
          </w:p>
        </w:tc>
        <w:tc>
          <w:tcPr>
            <w:tcW w:w="7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BXHJ8007</w:t>
            </w:r>
            <w:r>
              <w:rPr>
                <w:rFonts w:hint="eastAsia" w:ascii="宋体" w:hAnsi="宋体"/>
                <w:szCs w:val="21"/>
              </w:rPr>
              <w:t>99</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szCs w:val="21"/>
              </w:rPr>
            </w:pPr>
            <w:r>
              <w:rPr>
                <w:rFonts w:ascii="宋体" w:hAnsi="宋体"/>
                <w:szCs w:val="21"/>
              </w:rPr>
              <w:t>两助一辅</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rFonts w:hint="eastAsia"/>
                <w:szCs w:val="21"/>
              </w:rPr>
              <w:t>2</w:t>
            </w:r>
          </w:p>
        </w:tc>
        <w:tc>
          <w:tcPr>
            <w:tcW w:w="64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63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p>
        </w:tc>
        <w:tc>
          <w:tcPr>
            <w:tcW w:w="7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Calibri" w:hAnsi="Calibri"/>
                <w:szCs w:val="21"/>
              </w:rPr>
            </w:pPr>
            <w:r>
              <w:rPr>
                <w:rFonts w:hint="eastAsia" w:ascii="Calibri" w:hAnsi="Calibri"/>
                <w:szCs w:val="21"/>
              </w:rPr>
              <w:t>文献阅读</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rFonts w:hint="eastAsia"/>
                <w:szCs w:val="21"/>
              </w:rPr>
              <w:t>2</w:t>
            </w:r>
          </w:p>
        </w:tc>
        <w:tc>
          <w:tcPr>
            <w:tcW w:w="64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63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71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ascii="宋体" w:hAnsi="宋体"/>
                <w:szCs w:val="21"/>
              </w:rPr>
              <w:t>001970</w:t>
            </w:r>
          </w:p>
        </w:tc>
        <w:tc>
          <w:tcPr>
            <w:tcW w:w="7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ascii="宋体" w:hAnsi="宋体"/>
                <w:szCs w:val="21"/>
              </w:rPr>
              <w:t>BXHJ800999</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Calibri" w:hAnsi="Calibri"/>
                <w:szCs w:val="21"/>
              </w:rPr>
            </w:pPr>
            <w:r>
              <w:rPr>
                <w:rFonts w:hint="eastAsia" w:ascii="Calibri" w:hAnsi="Calibri"/>
                <w:szCs w:val="21"/>
              </w:rPr>
              <w:t>国际化交流</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rFonts w:hint="eastAsia"/>
                <w:szCs w:val="21"/>
              </w:rPr>
              <w:t>1</w:t>
            </w:r>
          </w:p>
        </w:tc>
        <w:tc>
          <w:tcPr>
            <w:tcW w:w="64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63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
                <w:bCs/>
                <w:szCs w:val="21"/>
              </w:rPr>
            </w:pPr>
          </w:p>
        </w:tc>
        <w:tc>
          <w:tcPr>
            <w:tcW w:w="718"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szCs w:val="21"/>
              </w:rPr>
            </w:pPr>
            <w:r>
              <w:rPr>
                <w:rFonts w:hint="eastAsia" w:ascii="宋体" w:hAnsi="宋体"/>
                <w:szCs w:val="21"/>
              </w:rPr>
              <w:t>001954</w:t>
            </w:r>
          </w:p>
        </w:tc>
        <w:tc>
          <w:tcPr>
            <w:tcW w:w="7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szCs w:val="21"/>
              </w:rPr>
            </w:pPr>
            <w:r>
              <w:rPr>
                <w:rFonts w:hint="eastAsia" w:ascii="宋体" w:hAnsi="宋体"/>
                <w:szCs w:val="21"/>
              </w:rPr>
              <w:t>B</w:t>
            </w:r>
            <w:r>
              <w:rPr>
                <w:rFonts w:ascii="宋体" w:hAnsi="宋体"/>
                <w:szCs w:val="21"/>
              </w:rPr>
              <w:t>XHJ602499</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szCs w:val="21"/>
              </w:rPr>
            </w:pPr>
            <w:r>
              <w:rPr>
                <w:rFonts w:hint="eastAsia" w:ascii="宋体" w:hAnsi="宋体"/>
                <w:szCs w:val="21"/>
              </w:rPr>
              <w:t>劳动教育</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Cs w:val="21"/>
              </w:rPr>
            </w:pPr>
            <w:r>
              <w:rPr>
                <w:rFonts w:hint="eastAsia"/>
                <w:kern w:val="0"/>
                <w:szCs w:val="21"/>
              </w:rPr>
              <w:t>0</w:t>
            </w:r>
          </w:p>
        </w:tc>
        <w:tc>
          <w:tcPr>
            <w:tcW w:w="64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63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szCs w:val="21"/>
              </w:rPr>
            </w:pPr>
          </w:p>
        </w:tc>
        <w:tc>
          <w:tcPr>
            <w:tcW w:w="718"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szCs w:val="21"/>
              </w:rPr>
            </w:pPr>
            <w:r>
              <w:rPr>
                <w:rFonts w:hint="eastAsia" w:ascii="宋体" w:hAnsi="宋体"/>
                <w:szCs w:val="21"/>
              </w:rPr>
              <w:t>001955</w:t>
            </w:r>
          </w:p>
        </w:tc>
        <w:tc>
          <w:tcPr>
            <w:tcW w:w="7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szCs w:val="21"/>
              </w:rPr>
            </w:pPr>
            <w:r>
              <w:rPr>
                <w:rFonts w:hint="eastAsia" w:ascii="宋体" w:hAnsi="宋体"/>
                <w:szCs w:val="21"/>
              </w:rPr>
              <w:t>B</w:t>
            </w:r>
            <w:r>
              <w:rPr>
                <w:rFonts w:ascii="宋体" w:hAnsi="宋体"/>
                <w:szCs w:val="21"/>
              </w:rPr>
              <w:t>XHJ602399</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szCs w:val="21"/>
              </w:rPr>
            </w:pPr>
            <w:r>
              <w:rPr>
                <w:rFonts w:hint="eastAsia" w:ascii="宋体" w:hAnsi="宋体"/>
                <w:szCs w:val="21"/>
              </w:rPr>
              <w:t>美育</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kern w:val="0"/>
                <w:szCs w:val="21"/>
              </w:rPr>
            </w:pPr>
            <w:r>
              <w:rPr>
                <w:rFonts w:hint="eastAsia"/>
                <w:kern w:val="0"/>
                <w:szCs w:val="21"/>
              </w:rPr>
              <w:t>0</w:t>
            </w:r>
          </w:p>
        </w:tc>
        <w:tc>
          <w:tcPr>
            <w:tcW w:w="64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636"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kern w:val="0"/>
                <w:szCs w:val="21"/>
              </w:rPr>
            </w:pPr>
          </w:p>
        </w:tc>
        <w:tc>
          <w:tcPr>
            <w:tcW w:w="718"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szCs w:val="21"/>
              </w:rPr>
            </w:pPr>
            <w:r>
              <w:rPr>
                <w:rFonts w:hint="eastAsia" w:ascii="宋体" w:hAnsi="宋体"/>
                <w:szCs w:val="21"/>
              </w:rPr>
              <w:t>001956</w:t>
            </w:r>
          </w:p>
        </w:tc>
        <w:tc>
          <w:tcPr>
            <w:tcW w:w="7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szCs w:val="21"/>
              </w:rPr>
            </w:pPr>
            <w:r>
              <w:rPr>
                <w:rFonts w:hint="eastAsia" w:ascii="宋体" w:hAnsi="宋体"/>
                <w:szCs w:val="21"/>
              </w:rPr>
              <w:t>B</w:t>
            </w:r>
            <w:r>
              <w:rPr>
                <w:rFonts w:ascii="宋体" w:hAnsi="宋体"/>
                <w:szCs w:val="21"/>
              </w:rPr>
              <w:t>XHJ602299</w:t>
            </w:r>
          </w:p>
        </w:tc>
        <w:tc>
          <w:tcPr>
            <w:tcW w:w="123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szCs w:val="21"/>
              </w:rPr>
            </w:pPr>
            <w:r>
              <w:rPr>
                <w:rFonts w:hint="eastAsia" w:ascii="宋体" w:hAnsi="宋体"/>
                <w:szCs w:val="21"/>
              </w:rPr>
              <w:t>体育</w:t>
            </w:r>
          </w:p>
        </w:tc>
        <w:tc>
          <w:tcPr>
            <w:tcW w:w="38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kern w:val="0"/>
                <w:szCs w:val="21"/>
              </w:rPr>
            </w:pPr>
            <w:r>
              <w:rPr>
                <w:rFonts w:hint="eastAsia"/>
                <w:kern w:val="0"/>
                <w:szCs w:val="21"/>
              </w:rPr>
              <w:t>0</w:t>
            </w:r>
          </w:p>
        </w:tc>
        <w:tc>
          <w:tcPr>
            <w:tcW w:w="647"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bl>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r>
        <w:rPr>
          <w:rFonts w:ascii="黑体" w:hAnsi="黑体" w:eastAsia="黑体"/>
          <w:sz w:val="24"/>
          <w:szCs w:val="24"/>
        </w:rPr>
        <w:t>六、</w:t>
      </w:r>
      <w:r>
        <w:rPr>
          <w:rFonts w:hint="eastAsia" w:ascii="黑体" w:hAnsi="黑体" w:eastAsia="黑体"/>
          <w:sz w:val="24"/>
          <w:szCs w:val="24"/>
        </w:rPr>
        <w:t>必修</w:t>
      </w:r>
      <w:r>
        <w:rPr>
          <w:rFonts w:ascii="黑体" w:hAnsi="黑体" w:eastAsia="黑体"/>
          <w:sz w:val="24"/>
          <w:szCs w:val="24"/>
        </w:rPr>
        <w:t>环节</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b/>
          <w:bCs/>
          <w:szCs w:val="21"/>
        </w:rPr>
      </w:pPr>
      <w:r>
        <w:rPr>
          <w:b/>
          <w:bCs/>
          <w:szCs w:val="21"/>
        </w:rPr>
        <w:t>1</w:t>
      </w:r>
      <w:r>
        <w:rPr>
          <w:rFonts w:hint="eastAsia"/>
          <w:b/>
          <w:bCs/>
          <w:szCs w:val="21"/>
        </w:rPr>
        <w:t>．学</w:t>
      </w:r>
      <w:r>
        <w:rPr>
          <w:b/>
          <w:bCs/>
          <w:szCs w:val="21"/>
        </w:rPr>
        <w:t>术活动（讲座）</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szCs w:val="21"/>
        </w:rPr>
      </w:pPr>
      <w:r>
        <w:rPr>
          <w:szCs w:val="21"/>
        </w:rPr>
        <w:t>博士研究生学术活动（讲座）分为必听讲座和选听讲座。必听讲座为</w:t>
      </w:r>
      <w:r>
        <w:rPr>
          <w:rFonts w:ascii="宋体" w:hAnsi="宋体"/>
          <w:szCs w:val="21"/>
        </w:rPr>
        <w:t>“科学道德与学风建设”</w:t>
      </w:r>
      <w:r>
        <w:rPr>
          <w:szCs w:val="21"/>
        </w:rPr>
        <w:t>；选听讲座包括与学科紧密相关</w:t>
      </w:r>
      <w:r>
        <w:rPr>
          <w:rFonts w:ascii="宋体" w:hAnsi="宋体"/>
          <w:szCs w:val="21"/>
        </w:rPr>
        <w:t>的“学</w:t>
      </w:r>
      <w:r>
        <w:rPr>
          <w:szCs w:val="21"/>
        </w:rPr>
        <w:t>科前沿系列专题</w:t>
      </w:r>
      <w:r>
        <w:rPr>
          <w:rFonts w:ascii="宋体" w:hAnsi="宋体"/>
          <w:szCs w:val="21"/>
        </w:rPr>
        <w:t>讲座”（</w:t>
      </w:r>
      <w:r>
        <w:rPr>
          <w:szCs w:val="21"/>
        </w:rPr>
        <w:t>由各二级学科组织若干教授对本学科前沿知识进行讲座，每个讲座由5个以上讲座组成）一个系列和在全校范围内选听</w:t>
      </w:r>
      <w:r>
        <w:rPr>
          <w:rFonts w:ascii="宋体" w:hAnsi="宋体"/>
          <w:szCs w:val="21"/>
        </w:rPr>
        <w:t>“学术讲座”</w:t>
      </w:r>
      <w:r>
        <w:rPr>
          <w:szCs w:val="21"/>
        </w:rPr>
        <w:t>1次，自己公开讲座1次，完成后记2学分。</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rFonts w:ascii="宋体" w:hAnsi="宋体"/>
          <w:szCs w:val="21"/>
        </w:rPr>
      </w:pPr>
      <w:r>
        <w:rPr>
          <w:b/>
          <w:bCs/>
          <w:szCs w:val="21"/>
        </w:rPr>
        <w:t>2</w:t>
      </w:r>
      <w:r>
        <w:rPr>
          <w:rFonts w:hint="eastAsia"/>
          <w:b/>
          <w:bCs/>
          <w:szCs w:val="21"/>
        </w:rPr>
        <w:t>．</w:t>
      </w:r>
      <w:r>
        <w:rPr>
          <w:b/>
          <w:bCs/>
          <w:szCs w:val="21"/>
        </w:rPr>
        <w:t>两助一辅</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宋体" w:hAnsi="宋体"/>
          <w:szCs w:val="21"/>
        </w:rPr>
      </w:pPr>
      <w:r>
        <w:rPr>
          <w:rFonts w:hint="eastAsia" w:ascii="宋体" w:hAnsi="宋体"/>
          <w:szCs w:val="21"/>
        </w:rPr>
        <w:t>“</w:t>
      </w:r>
      <w:r>
        <w:rPr>
          <w:rFonts w:ascii="宋体" w:hAnsi="宋体"/>
          <w:szCs w:val="21"/>
        </w:rPr>
        <w:t>两助一辅</w:t>
      </w:r>
      <w:r>
        <w:rPr>
          <w:rFonts w:hint="eastAsia" w:ascii="宋体" w:hAnsi="宋体"/>
          <w:szCs w:val="21"/>
        </w:rPr>
        <w:t>”</w:t>
      </w:r>
      <w:r>
        <w:rPr>
          <w:rFonts w:ascii="宋体" w:hAnsi="宋体"/>
          <w:szCs w:val="21"/>
        </w:rPr>
        <w:t>是指研究生担任助教、助管和辅导员工作，其目的是培养研究生的综合能力，是研究生培养过程的有机组成部分。</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宋体" w:hAnsi="宋体"/>
          <w:szCs w:val="21"/>
        </w:rPr>
      </w:pPr>
      <w:r>
        <w:rPr>
          <w:rFonts w:ascii="宋体" w:hAnsi="宋体"/>
          <w:szCs w:val="21"/>
        </w:rPr>
        <w:t>全日制博士研究生在培养过程中必须完成至少一个标准岗位的助教、助管或辅导员工作。该环节纳入学分管理，通过后记</w:t>
      </w:r>
      <w:r>
        <w:rPr>
          <w:szCs w:val="21"/>
        </w:rPr>
        <w:t>2</w:t>
      </w:r>
      <w:r>
        <w:rPr>
          <w:rFonts w:ascii="宋体" w:hAnsi="宋体"/>
          <w:szCs w:val="21"/>
        </w:rPr>
        <w:t>学分。</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b/>
          <w:bCs/>
          <w:szCs w:val="21"/>
        </w:rPr>
      </w:pPr>
      <w:r>
        <w:rPr>
          <w:b/>
          <w:bCs/>
          <w:szCs w:val="21"/>
        </w:rPr>
        <w:t>3</w:t>
      </w:r>
      <w:r>
        <w:rPr>
          <w:rFonts w:hint="eastAsia"/>
          <w:b/>
          <w:bCs/>
          <w:szCs w:val="21"/>
        </w:rPr>
        <w:t>．</w:t>
      </w:r>
      <w:r>
        <w:rPr>
          <w:b/>
          <w:bCs/>
          <w:szCs w:val="21"/>
        </w:rPr>
        <w:t>基金撰写</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宋体" w:hAnsi="宋体"/>
          <w:kern w:val="0"/>
          <w:szCs w:val="21"/>
        </w:rPr>
      </w:pPr>
      <w:r>
        <w:rPr>
          <w:rFonts w:hint="eastAsia" w:ascii="宋体" w:hAnsi="宋体"/>
          <w:szCs w:val="21"/>
        </w:rPr>
        <w:t>博士</w:t>
      </w:r>
      <w:r>
        <w:rPr>
          <w:rFonts w:ascii="宋体" w:hAnsi="宋体"/>
          <w:szCs w:val="21"/>
        </w:rPr>
        <w:t>研究生在学习期间，须在导师指导下，完成一项国家科研基金申请书的撰写，培养博士生申请科研项目的能力，导师同意通过后，记</w:t>
      </w:r>
      <w:r>
        <w:rPr>
          <w:szCs w:val="21"/>
        </w:rPr>
        <w:t>1</w:t>
      </w:r>
      <w:r>
        <w:rPr>
          <w:rFonts w:ascii="宋体" w:hAnsi="宋体"/>
          <w:szCs w:val="21"/>
        </w:rPr>
        <w:t>学分。</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b/>
          <w:bCs/>
          <w:szCs w:val="21"/>
        </w:rPr>
      </w:pPr>
      <w:r>
        <w:rPr>
          <w:b/>
          <w:bCs/>
          <w:szCs w:val="21"/>
        </w:rPr>
        <w:t>4</w:t>
      </w:r>
      <w:r>
        <w:rPr>
          <w:rFonts w:hint="eastAsia"/>
          <w:b/>
          <w:bCs/>
          <w:szCs w:val="21"/>
        </w:rPr>
        <w:t>．</w:t>
      </w:r>
      <w:r>
        <w:rPr>
          <w:b/>
          <w:bCs/>
          <w:szCs w:val="21"/>
        </w:rPr>
        <w:t>国际化交流</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宋体" w:hAnsi="宋体"/>
          <w:szCs w:val="21"/>
        </w:rPr>
      </w:pPr>
      <w:r>
        <w:rPr>
          <w:rFonts w:ascii="宋体" w:hAnsi="宋体"/>
          <w:kern w:val="0"/>
          <w:szCs w:val="21"/>
        </w:rPr>
        <w:t>立足于培养</w:t>
      </w:r>
      <w:r>
        <w:rPr>
          <w:rFonts w:hint="eastAsia" w:ascii="宋体" w:hAnsi="宋体"/>
          <w:kern w:val="0"/>
          <w:szCs w:val="21"/>
        </w:rPr>
        <w:t>博士</w:t>
      </w:r>
      <w:r>
        <w:rPr>
          <w:rFonts w:ascii="宋体" w:hAnsi="宋体"/>
          <w:kern w:val="0"/>
          <w:szCs w:val="21"/>
        </w:rPr>
        <w:t>研究生的全球化视野，</w:t>
      </w:r>
      <w:r>
        <w:rPr>
          <w:rFonts w:ascii="宋体" w:hAnsi="宋体"/>
          <w:szCs w:val="21"/>
        </w:rPr>
        <w:t>研究生在校期间，达到以下条件之一记1学分：</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宋体" w:hAnsi="宋体"/>
          <w:szCs w:val="21"/>
        </w:rPr>
      </w:pPr>
      <w:r>
        <w:rPr>
          <w:szCs w:val="21"/>
        </w:rPr>
        <w:t>1</w:t>
      </w:r>
      <w:r>
        <w:rPr>
          <w:rFonts w:ascii="宋体" w:hAnsi="宋体"/>
          <w:szCs w:val="21"/>
        </w:rPr>
        <w:t>）</w:t>
      </w:r>
      <w:r>
        <w:rPr>
          <w:rFonts w:hint="eastAsia"/>
          <w:szCs w:val="21"/>
        </w:rPr>
        <w:t>CSC</w:t>
      </w:r>
      <w:r>
        <w:rPr>
          <w:rFonts w:hint="eastAsia" w:ascii="宋体" w:hAnsi="宋体"/>
          <w:szCs w:val="21"/>
        </w:rPr>
        <w:t>项目；</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宋体" w:hAnsi="宋体"/>
          <w:szCs w:val="21"/>
        </w:rPr>
      </w:pPr>
      <w:r>
        <w:rPr>
          <w:rFonts w:hint="eastAsia"/>
          <w:szCs w:val="21"/>
        </w:rPr>
        <w:t>2</w:t>
      </w:r>
      <w:r>
        <w:rPr>
          <w:rFonts w:ascii="宋体" w:hAnsi="宋体"/>
          <w:szCs w:val="21"/>
        </w:rPr>
        <w:t>）</w:t>
      </w:r>
      <w:r>
        <w:rPr>
          <w:rFonts w:hint="eastAsia" w:ascii="宋体" w:hAnsi="宋体"/>
          <w:szCs w:val="21"/>
        </w:rPr>
        <w:t>与国（境）外</w:t>
      </w:r>
      <w:r>
        <w:rPr>
          <w:rFonts w:ascii="宋体" w:hAnsi="宋体"/>
          <w:szCs w:val="21"/>
        </w:rPr>
        <w:t>联合培养；</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宋体" w:hAnsi="宋体"/>
          <w:szCs w:val="21"/>
        </w:rPr>
      </w:pPr>
      <w:r>
        <w:rPr>
          <w:rFonts w:hint="eastAsia"/>
          <w:szCs w:val="21"/>
        </w:rPr>
        <w:t>3</w:t>
      </w:r>
      <w:r>
        <w:rPr>
          <w:rFonts w:ascii="宋体" w:hAnsi="宋体"/>
          <w:szCs w:val="21"/>
        </w:rPr>
        <w:t>）</w:t>
      </w:r>
      <w:r>
        <w:rPr>
          <w:rFonts w:hint="eastAsia" w:ascii="宋体" w:hAnsi="宋体"/>
          <w:szCs w:val="21"/>
        </w:rPr>
        <w:t>国（境）外</w:t>
      </w:r>
      <w:r>
        <w:rPr>
          <w:rFonts w:ascii="宋体" w:hAnsi="宋体"/>
          <w:szCs w:val="21"/>
        </w:rPr>
        <w:t>短期出</w:t>
      </w:r>
      <w:r>
        <w:rPr>
          <w:rFonts w:hint="eastAsia" w:ascii="宋体" w:hAnsi="宋体"/>
          <w:szCs w:val="21"/>
        </w:rPr>
        <w:t>访、国际组织实习（三个月以上）；</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宋体" w:hAnsi="宋体"/>
          <w:szCs w:val="21"/>
        </w:rPr>
      </w:pPr>
      <w:r>
        <w:rPr>
          <w:rFonts w:hint="eastAsia"/>
          <w:szCs w:val="21"/>
        </w:rPr>
        <w:t>4</w:t>
      </w:r>
      <w:r>
        <w:rPr>
          <w:rFonts w:ascii="宋体" w:hAnsi="宋体"/>
          <w:szCs w:val="21"/>
        </w:rPr>
        <w:t>）国内外举办的</w:t>
      </w:r>
      <w:r>
        <w:rPr>
          <w:rFonts w:hint="eastAsia" w:ascii="宋体" w:hAnsi="宋体"/>
          <w:szCs w:val="21"/>
        </w:rPr>
        <w:t>高水平</w:t>
      </w:r>
      <w:r>
        <w:rPr>
          <w:rFonts w:ascii="宋体" w:hAnsi="宋体"/>
          <w:szCs w:val="21"/>
        </w:rPr>
        <w:t>国际</w:t>
      </w:r>
      <w:r>
        <w:rPr>
          <w:rFonts w:hint="eastAsia" w:ascii="宋体" w:hAnsi="宋体"/>
          <w:szCs w:val="21"/>
        </w:rPr>
        <w:t>学术</w:t>
      </w:r>
      <w:r>
        <w:rPr>
          <w:rFonts w:ascii="宋体" w:hAnsi="宋体"/>
          <w:szCs w:val="21"/>
        </w:rPr>
        <w:t>会议（参加、投稿被书面收录、壁报、小组发言、大会发言，均被认可，但需提供详细的书面证明邀请信、参会照片、收录节选、壁报展示及照片、小组发言或大会发言照片等）；</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宋体" w:hAnsi="宋体"/>
          <w:szCs w:val="21"/>
        </w:rPr>
      </w:pPr>
      <w:r>
        <w:rPr>
          <w:rFonts w:hint="eastAsia"/>
          <w:szCs w:val="21"/>
        </w:rPr>
        <w:t>5</w:t>
      </w:r>
      <w:r>
        <w:rPr>
          <w:szCs w:val="21"/>
        </w:rPr>
        <w:t>）</w:t>
      </w:r>
      <w:r>
        <w:rPr>
          <w:rFonts w:hint="eastAsia" w:ascii="宋体" w:hAnsi="宋体"/>
          <w:szCs w:val="21"/>
        </w:rPr>
        <w:t>选修国外高校全英文在线课程（</w:t>
      </w:r>
      <w:r>
        <w:rPr>
          <w:rFonts w:hint="eastAsia"/>
          <w:szCs w:val="21"/>
        </w:rPr>
        <w:t>MOOC</w:t>
      </w:r>
      <w:r>
        <w:rPr>
          <w:rFonts w:hint="eastAsia" w:ascii="宋体" w:hAnsi="宋体"/>
          <w:szCs w:val="21"/>
        </w:rPr>
        <w:t>），并取得合格证书；</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宋体" w:hAnsi="宋体"/>
          <w:szCs w:val="21"/>
        </w:rPr>
      </w:pPr>
      <w:r>
        <w:rPr>
          <w:rFonts w:hint="eastAsia"/>
          <w:szCs w:val="21"/>
        </w:rPr>
        <w:t>6</w:t>
      </w:r>
      <w:r>
        <w:rPr>
          <w:rFonts w:ascii="宋体" w:hAnsi="宋体"/>
          <w:szCs w:val="21"/>
        </w:rPr>
        <w:t>）</w:t>
      </w:r>
      <w:r>
        <w:rPr>
          <w:rFonts w:hint="eastAsia" w:ascii="宋体" w:hAnsi="宋体"/>
          <w:szCs w:val="21"/>
        </w:rPr>
        <w:t>参加国际专业竞赛并获奖。</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b/>
          <w:bCs/>
          <w:szCs w:val="21"/>
        </w:rPr>
      </w:pPr>
      <w:r>
        <w:rPr>
          <w:b/>
          <w:bCs/>
          <w:szCs w:val="21"/>
        </w:rPr>
        <w:t>5</w:t>
      </w:r>
      <w:r>
        <w:rPr>
          <w:rFonts w:hint="eastAsia"/>
          <w:b/>
          <w:bCs/>
          <w:szCs w:val="21"/>
        </w:rPr>
        <w:t>．文献</w:t>
      </w:r>
      <w:r>
        <w:rPr>
          <w:b/>
          <w:bCs/>
          <w:szCs w:val="21"/>
        </w:rPr>
        <w:t>阅读</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szCs w:val="21"/>
        </w:rPr>
      </w:pPr>
      <w:r>
        <w:rPr>
          <w:rFonts w:hint="eastAsia"/>
          <w:szCs w:val="21"/>
        </w:rPr>
        <w:t>博士研究生</w:t>
      </w:r>
      <w:r>
        <w:rPr>
          <w:szCs w:val="21"/>
        </w:rPr>
        <w:t>在第</w:t>
      </w:r>
      <w:r>
        <w:rPr>
          <w:rFonts w:hint="eastAsia"/>
          <w:szCs w:val="21"/>
        </w:rPr>
        <w:t>三</w:t>
      </w:r>
      <w:r>
        <w:rPr>
          <w:szCs w:val="21"/>
        </w:rPr>
        <w:t>学</w:t>
      </w:r>
      <w:r>
        <w:rPr>
          <w:rFonts w:hint="eastAsia"/>
          <w:szCs w:val="21"/>
        </w:rPr>
        <w:t>期</w:t>
      </w:r>
      <w:r>
        <w:rPr>
          <w:szCs w:val="21"/>
        </w:rPr>
        <w:t>完成</w:t>
      </w:r>
      <w:r>
        <w:rPr>
          <w:rFonts w:hint="eastAsia"/>
          <w:szCs w:val="21"/>
        </w:rPr>
        <w:t>文献阅读</w:t>
      </w:r>
      <w:r>
        <w:rPr>
          <w:szCs w:val="21"/>
        </w:rPr>
        <w:t>考核</w:t>
      </w:r>
      <w:r>
        <w:rPr>
          <w:rFonts w:hint="eastAsia"/>
          <w:szCs w:val="21"/>
        </w:rPr>
        <w:t>。</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szCs w:val="21"/>
        </w:rPr>
      </w:pPr>
      <w:r>
        <w:rPr>
          <w:rFonts w:hint="eastAsia"/>
          <w:szCs w:val="21"/>
        </w:rPr>
        <w:t>文献阅读是引领研究生特别是博士生夯实学术根基、迅速进入学科专业研究领域和培养研究生科研素养的重要手段，是课程知识扩展和补充的重要方式。学生入学后</w:t>
      </w:r>
      <w:r>
        <w:rPr>
          <w:szCs w:val="21"/>
        </w:rPr>
        <w:t>结合学科发展和论文研究方向，在导师指导下阅读国内外文献资料。</w:t>
      </w:r>
      <w:r>
        <w:rPr>
          <w:rFonts w:hint="eastAsia"/>
          <w:szCs w:val="21"/>
        </w:rPr>
        <w:t>考核形式采用提交文献综述形式（要求字数不少于</w:t>
      </w:r>
      <w:r>
        <w:rPr>
          <w:szCs w:val="21"/>
        </w:rPr>
        <w:t>5000</w:t>
      </w:r>
      <w:r>
        <w:rPr>
          <w:rFonts w:hint="eastAsia"/>
          <w:szCs w:val="21"/>
        </w:rPr>
        <w:t>字，参考文献应包含中文文献和外文文献，综述文献不少于</w:t>
      </w:r>
      <w:r>
        <w:rPr>
          <w:szCs w:val="21"/>
        </w:rPr>
        <w:t>60</w:t>
      </w:r>
      <w:r>
        <w:rPr>
          <w:rFonts w:hint="eastAsia"/>
          <w:szCs w:val="21"/>
        </w:rPr>
        <w:t>篇），导师签字确认后提交，学院组织评审专家对综述报告的选题、格式、内容以及书面表达能力等进行评审，审核通过者，记</w:t>
      </w:r>
      <w:r>
        <w:rPr>
          <w:szCs w:val="21"/>
        </w:rPr>
        <w:t>2</w:t>
      </w:r>
      <w:r>
        <w:rPr>
          <w:rFonts w:hint="eastAsia"/>
          <w:szCs w:val="21"/>
        </w:rPr>
        <w:t>学分。审核未通过者，按照专家审核意见完成修改后提交学院进行二次评审。经两次审核都未通过者，不记入学分。考核工作由医学部各学院统一安排。</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szCs w:val="21"/>
        </w:rPr>
      </w:pPr>
      <w:r>
        <w:rPr>
          <w:rFonts w:hint="eastAsia"/>
          <w:szCs w:val="21"/>
        </w:rPr>
        <w:t>文献阅读考核需在博士生中期考核前完成考核。</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rFonts w:hint="eastAsia"/>
          <w:szCs w:val="21"/>
        </w:rPr>
      </w:pPr>
      <w:r>
        <w:rPr>
          <w:rFonts w:hint="eastAsia"/>
          <w:szCs w:val="21"/>
        </w:rPr>
        <w:t>6</w:t>
      </w:r>
      <w:r>
        <w:rPr>
          <w:szCs w:val="21"/>
        </w:rPr>
        <w:t>.</w:t>
      </w:r>
      <w:r>
        <w:rPr>
          <w:rFonts w:hint="eastAsia"/>
          <w:szCs w:val="21"/>
        </w:rPr>
        <w:t>体育、美育、劳动教育</w:t>
      </w:r>
    </w:p>
    <w:p>
      <w:pPr>
        <w:pStyle w:val="11"/>
        <w:keepNext w:val="0"/>
        <w:keepLines w:val="0"/>
        <w:pageBreakBefore w:val="0"/>
        <w:widowControl w:val="0"/>
        <w:kinsoku/>
        <w:wordWrap/>
        <w:overflowPunct/>
        <w:topLinePunct w:val="0"/>
        <w:autoSpaceDE/>
        <w:autoSpaceDN/>
        <w:bidi w:val="0"/>
        <w:spacing w:line="300" w:lineRule="auto"/>
        <w:textAlignment w:val="auto"/>
        <w:rPr>
          <w:rFonts w:hint="eastAsia"/>
          <w:sz w:val="21"/>
          <w:szCs w:val="21"/>
        </w:rPr>
      </w:pPr>
      <w:r>
        <w:rPr>
          <w:rFonts w:hint="eastAsia"/>
          <w:sz w:val="21"/>
          <w:szCs w:val="21"/>
        </w:rPr>
        <w:t>研究生依据当年的体育、美育、劳动教育研修指南，结合个人兴趣爱好和培养计划安排，制定个人体育、美育、劳动教育环节研修计划并开展研修，由体育、美育、劳动教育牵头单位对环节是否“通过”给予认定。</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b/>
          <w:bCs/>
          <w:szCs w:val="21"/>
        </w:rPr>
      </w:pPr>
      <w:r>
        <w:rPr>
          <w:b/>
          <w:bCs/>
          <w:szCs w:val="21"/>
        </w:rPr>
        <w:t>7</w:t>
      </w:r>
      <w:r>
        <w:rPr>
          <w:rFonts w:hint="eastAsia"/>
          <w:b/>
          <w:bCs/>
          <w:szCs w:val="21"/>
        </w:rPr>
        <w:t>．</w:t>
      </w:r>
      <w:r>
        <w:rPr>
          <w:b/>
          <w:bCs/>
          <w:szCs w:val="21"/>
        </w:rPr>
        <w:t>开题报告</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宋体" w:hAnsi="宋体"/>
          <w:szCs w:val="21"/>
        </w:rPr>
      </w:pPr>
      <w:r>
        <w:rPr>
          <w:rFonts w:hint="eastAsia" w:ascii="宋体" w:hAnsi="宋体"/>
          <w:szCs w:val="21"/>
        </w:rPr>
        <w:t>开题报告一般应在第三学期前完成，具体时间由导师或院系决定，并上报学院（系）教学管理部门备案。从开题报告通过至申请论文答辩的时间一般不少于一年。开题报告由医学部各学院（系）组织，应以学术活动的形式在学院（系）内公开进行，并邀请相关教师和研究生参加。各学院（系）邀请本学院督导列席旁听并打分。开题报告评审专家小组由3-5名校内外博士生导师组成（导师及导师团队成员为主体）。考查内容包括：文献综述、选题意义与科学依据、研究基础、研究内容与计划、工作难点及特色、预期成果以及可能产生的创新点、论文选题与学科的匹配度等。经评审通过的开题报告，须以书面形式交医学部人才培养处审核备案。</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b/>
          <w:bCs/>
          <w:szCs w:val="21"/>
        </w:rPr>
      </w:pPr>
      <w:r>
        <w:rPr>
          <w:b/>
          <w:bCs/>
          <w:szCs w:val="21"/>
        </w:rPr>
        <w:t>8</w:t>
      </w:r>
      <w:r>
        <w:rPr>
          <w:rFonts w:hint="eastAsia"/>
          <w:b/>
          <w:bCs/>
          <w:szCs w:val="21"/>
        </w:rPr>
        <w:t>．</w:t>
      </w:r>
      <w:r>
        <w:rPr>
          <w:b/>
          <w:bCs/>
          <w:szCs w:val="21"/>
        </w:rPr>
        <w:t>中期考核</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szCs w:val="21"/>
        </w:rPr>
      </w:pPr>
      <w:r>
        <w:rPr>
          <w:rFonts w:hint="eastAsia"/>
          <w:szCs w:val="21"/>
        </w:rPr>
        <w:t>中期考核一般安排在第四学期（贯通培养研究生转为博士生培养后可在第三学期，以直攻博方式进入贯通式培养体系的学生，自第三学年起至第四学年末完成中期考核）进行。中期考核由院系组织，应以学术活动的形式公开进行，考核小组由5-7名本学科或相关学科博士生导师组成。中期考核内容包括：学科基础综合考试（含学科基础文献集阅读）、业务表现与论文工作进展、论文选题与学科的匹配度、综合能力等方面。研究生提交由导师签字的课程成绩、课题研究进展报告等书面材料后，方可参加中期考核。中期考核所有评审材料，须在医学部人才培养处审核备案。</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szCs w:val="21"/>
        </w:rPr>
      </w:pPr>
      <w:r>
        <w:rPr>
          <w:rFonts w:hint="eastAsia"/>
          <w:szCs w:val="21"/>
        </w:rPr>
        <w:t>博士研究生应按时参加中期考核，如有特殊情况需延期参加，须本人申请并获得批准后参加补考核，具体时间由医学部人才培养处确定。</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szCs w:val="21"/>
        </w:rPr>
      </w:pPr>
      <w:r>
        <w:rPr>
          <w:szCs w:val="21"/>
        </w:rPr>
        <w:t>中期考核具体要求参照《西安交通大学关于博士研究生中期考核的若干规定》（西交研〔2014〕25号）执行。</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ind w:firstLine="420" w:firstLineChars="200"/>
        <w:textAlignment w:val="auto"/>
        <w:rPr>
          <w:szCs w:val="21"/>
        </w:rPr>
      </w:pPr>
      <w:r>
        <w:rPr>
          <w:rFonts w:hint="eastAsia"/>
          <w:szCs w:val="21"/>
        </w:rPr>
        <w:t>研究生的开题报告和中期报告中应包含实验安全风险评估的内容。</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b/>
          <w:bCs/>
          <w:szCs w:val="21"/>
        </w:rPr>
      </w:pPr>
      <w:r>
        <w:rPr>
          <w:b/>
          <w:bCs/>
          <w:szCs w:val="21"/>
        </w:rPr>
        <w:t>9</w:t>
      </w:r>
      <w:r>
        <w:rPr>
          <w:rFonts w:hint="eastAsia"/>
          <w:b/>
          <w:bCs/>
          <w:szCs w:val="21"/>
        </w:rPr>
        <w:t>．</w:t>
      </w:r>
      <w:r>
        <w:rPr>
          <w:b/>
          <w:bCs/>
          <w:szCs w:val="21"/>
        </w:rPr>
        <w:t>最终学术报告（预答辩）</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宋体" w:hAnsi="宋体"/>
          <w:szCs w:val="21"/>
        </w:rPr>
      </w:pPr>
      <w:r>
        <w:rPr>
          <w:rFonts w:hint="eastAsia" w:ascii="宋体" w:hAnsi="宋体"/>
          <w:szCs w:val="21"/>
        </w:rPr>
        <w:t>博士研究生完成学位论文后，须在医学部或医学部各院（系）范围内进行公开预答辩，报告自己的研究成果。预答辩专家组由5名本学科或相关学科专家组成，其中至少3人为博士生导师。各学院（系）邀请本学院督导或相关学科专家列席旁听。在预答辩中，须严格审查论文选题的前沿性、理论及现实意义，学位论文是否有独立见解，学位论文的工作量，研究工作的系统性、完整性，论文选题与学科的匹配度等。</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宋体" w:hAnsi="宋体"/>
          <w:szCs w:val="21"/>
        </w:rPr>
      </w:pPr>
      <w:r>
        <w:rPr>
          <w:rFonts w:hint="eastAsia" w:ascii="宋体" w:hAnsi="宋体"/>
          <w:szCs w:val="21"/>
        </w:rPr>
        <w:t>对预答辩中提出的问题，博士研究生应认真修改与补充，填写修改说明表，经导师签字同意并报预答辩专家组组长签字同意后，方可进入论文评阅、答辩环节。对于未获得通过的学位论文，博士研究生应修改后重新进行预答辩。</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宋体" w:hAnsi="宋体"/>
          <w:szCs w:val="21"/>
        </w:rPr>
      </w:pPr>
      <w:r>
        <w:rPr>
          <w:rFonts w:hint="eastAsia" w:ascii="宋体" w:hAnsi="宋体"/>
          <w:szCs w:val="21"/>
        </w:rPr>
        <w:t>对于未获得通过和</w:t>
      </w:r>
      <w:r>
        <w:rPr>
          <w:rFonts w:ascii="宋体" w:hAnsi="宋体"/>
          <w:szCs w:val="21"/>
        </w:rPr>
        <w:t>问题较多的学位论文要经过研究生修改后重新组织预答辩。</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宋体" w:hAnsi="宋体"/>
          <w:szCs w:val="21"/>
        </w:rPr>
      </w:pPr>
      <w:r>
        <w:rPr>
          <w:rFonts w:ascii="宋体" w:hAnsi="宋体"/>
          <w:szCs w:val="21"/>
        </w:rPr>
        <w:t>预答辩具体参照《西安交通大学学位授予工作暂行办法》（西交研〔2003〕14号）执行。</w:t>
      </w:r>
    </w:p>
    <w:p>
      <w:pPr>
        <w:keepNext w:val="0"/>
        <w:keepLines w:val="0"/>
        <w:pageBreakBefore w:val="0"/>
        <w:widowControl w:val="0"/>
        <w:kinsoku/>
        <w:wordWrap/>
        <w:overflowPunct/>
        <w:topLinePunct w:val="0"/>
        <w:autoSpaceDE/>
        <w:autoSpaceDN/>
        <w:bidi w:val="0"/>
        <w:spacing w:line="300" w:lineRule="auto"/>
        <w:ind w:firstLine="422" w:firstLineChars="200"/>
        <w:textAlignment w:val="auto"/>
        <w:rPr>
          <w:b/>
          <w:bCs/>
          <w:szCs w:val="21"/>
        </w:rPr>
      </w:pPr>
      <w:r>
        <w:rPr>
          <w:b/>
          <w:bCs/>
          <w:szCs w:val="21"/>
        </w:rPr>
        <w:t>10</w:t>
      </w:r>
      <w:r>
        <w:rPr>
          <w:rFonts w:hint="eastAsia"/>
          <w:b/>
          <w:bCs/>
          <w:szCs w:val="21"/>
        </w:rPr>
        <w:t>．</w:t>
      </w:r>
      <w:r>
        <w:rPr>
          <w:b/>
          <w:bCs/>
          <w:szCs w:val="21"/>
        </w:rPr>
        <w:t>学术论文</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bCs/>
          <w:szCs w:val="21"/>
        </w:rPr>
      </w:pPr>
      <w:r>
        <w:rPr>
          <w:bCs/>
          <w:szCs w:val="21"/>
        </w:rPr>
        <w:t>研究生在导师指导下，进行严格的科研训练，结合临床工作完成一篇学位论文。应选择临床医疗实践中出现的理论或技术问题为研究课题，利用已有的研究手段，进行临床应用或临床应用基础的研究，学会临床科学研究方法，使其具有从事临床科学研究的能力。科研工作的脱产时间（含论文撰写）不得超过半年。</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宋体" w:hAnsi="宋体"/>
          <w:szCs w:val="21"/>
        </w:rPr>
      </w:pPr>
      <w:r>
        <w:rPr>
          <w:bCs/>
          <w:szCs w:val="21"/>
        </w:rPr>
        <w:t>临床医学博士专业学位论文的要求：（1）论文课题紧密结合临床实际；（2）研究结果对临床工作具有一定的应用价值；（3）论文表明研究生具有运用所学知识,解决临床实际问题和从事临床科学研究的能力。论文答辩</w:t>
      </w:r>
      <w:r>
        <w:rPr>
          <w:rFonts w:hint="eastAsia"/>
          <w:bCs/>
          <w:szCs w:val="21"/>
        </w:rPr>
        <w:t>具体参照</w:t>
      </w:r>
      <w:r>
        <w:rPr>
          <w:bCs/>
          <w:szCs w:val="21"/>
        </w:rPr>
        <w:t>《西安交通大学学位授予工作暂行办法》（西交研〔2003〕14号）执行。</w:t>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bCs/>
          <w:szCs w:val="21"/>
        </w:rPr>
      </w:pPr>
    </w:p>
    <w:p>
      <w:pPr>
        <w:pStyle w:val="3"/>
        <w:spacing w:line="286" w:lineRule="auto"/>
        <w:jc w:val="center"/>
        <w:rPr>
          <w:szCs w:val="21"/>
        </w:rPr>
      </w:pPr>
      <w:bookmarkStart w:id="580" w:name="_Toc110427520"/>
      <w:r>
        <w:rPr>
          <w:rFonts w:ascii="黑体" w:hAnsi="黑体"/>
          <w:b w:val="0"/>
          <w:sz w:val="28"/>
          <w:szCs w:val="28"/>
        </w:rPr>
        <w:t>（</w:t>
      </w:r>
      <w:r>
        <w:rPr>
          <w:rFonts w:hint="eastAsia" w:ascii="黑体" w:hAnsi="黑体"/>
          <w:b w:val="0"/>
          <w:sz w:val="28"/>
          <w:szCs w:val="28"/>
        </w:rPr>
        <w:t>五</w:t>
      </w:r>
      <w:r>
        <w:rPr>
          <w:rFonts w:ascii="黑体" w:hAnsi="黑体"/>
          <w:b w:val="0"/>
          <w:sz w:val="28"/>
          <w:szCs w:val="28"/>
        </w:rPr>
        <w:t>）</w:t>
      </w:r>
      <w:r>
        <w:rPr>
          <w:rFonts w:hint="eastAsia" w:ascii="黑体" w:hAnsi="黑体"/>
          <w:b w:val="0"/>
          <w:sz w:val="28"/>
          <w:szCs w:val="28"/>
        </w:rPr>
        <w:t>口腔医学博士</w:t>
      </w:r>
      <w:r>
        <w:rPr>
          <w:rFonts w:hint="eastAsia" w:ascii="黑体" w:hAnsi="黑体"/>
          <w:b/>
          <w:bCs w:val="0"/>
          <w:sz w:val="28"/>
          <w:szCs w:val="28"/>
        </w:rPr>
        <w:t>（1052）</w:t>
      </w:r>
      <w:r>
        <w:rPr>
          <w:rFonts w:hint="eastAsia" w:ascii="黑体" w:hAnsi="黑体"/>
          <w:b w:val="0"/>
          <w:sz w:val="28"/>
          <w:szCs w:val="28"/>
        </w:rPr>
        <w:t>专业学位研究生培养方案</w:t>
      </w:r>
      <w:bookmarkEnd w:id="580"/>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r>
        <w:rPr>
          <w:rFonts w:ascii="黑体" w:hAnsi="黑体" w:eastAsia="黑体"/>
          <w:sz w:val="24"/>
          <w:szCs w:val="24"/>
        </w:rPr>
        <w:t>一、培养目标：</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szCs w:val="21"/>
        </w:rPr>
      </w:pPr>
      <w:r>
        <w:rPr>
          <w:szCs w:val="21"/>
        </w:rPr>
        <w:t>1．较好地掌握马克思主义的基本原理，坚持四项基本原则，热爱祖国，遵纪守法，品德良好，有献身于科学的强烈事业心和创新精神，积极为祖国医学事业发展贡献自己的才智。</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szCs w:val="21"/>
        </w:rPr>
      </w:pPr>
      <w:r>
        <w:rPr>
          <w:szCs w:val="21"/>
        </w:rPr>
        <w:t>2．具有较严密的逻辑思维和较强的分析问题、解决问题的能力，熟练地掌握本学科的临床技能，能独立处理本学科常见病及某些疑难病症，能对下级医师进行业务指导，达到初级主治医师的临床工作水平。</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szCs w:val="21"/>
        </w:rPr>
      </w:pPr>
      <w:r>
        <w:rPr>
          <w:szCs w:val="21"/>
        </w:rPr>
        <w:t>3．至少掌握一门外语，能熟练地阅读本专业的外文资料，具有一定的写作能力和进行国际学术交流的能力。</w:t>
      </w:r>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r>
        <w:rPr>
          <w:rFonts w:ascii="黑体" w:hAnsi="黑体" w:eastAsia="黑体"/>
          <w:sz w:val="24"/>
          <w:szCs w:val="24"/>
        </w:rPr>
        <w:t>二、</w:t>
      </w:r>
      <w:r>
        <w:rPr>
          <w:rFonts w:hint="eastAsia" w:ascii="黑体" w:hAnsi="黑体" w:eastAsia="黑体"/>
          <w:sz w:val="24"/>
          <w:szCs w:val="24"/>
        </w:rPr>
        <w:t>专业</w:t>
      </w:r>
      <w:r>
        <w:rPr>
          <w:rFonts w:ascii="黑体" w:hAnsi="黑体" w:eastAsia="黑体"/>
          <w:sz w:val="24"/>
          <w:szCs w:val="24"/>
        </w:rPr>
        <w:t>方向：</w:t>
      </w:r>
    </w:p>
    <w:p>
      <w:pPr>
        <w:keepNext w:val="0"/>
        <w:keepLines w:val="0"/>
        <w:pageBreakBefore w:val="0"/>
        <w:widowControl w:val="0"/>
        <w:kinsoku/>
        <w:wordWrap/>
        <w:overflowPunct/>
        <w:topLinePunct w:val="0"/>
        <w:autoSpaceDE/>
        <w:autoSpaceDN/>
        <w:bidi w:val="0"/>
        <w:spacing w:before="120" w:beforeLines="50" w:after="120" w:afterLines="50" w:line="300" w:lineRule="auto"/>
        <w:ind w:firstLine="480" w:firstLineChars="200"/>
        <w:textAlignment w:val="auto"/>
        <w:rPr>
          <w:rFonts w:ascii="黑体" w:hAnsi="黑体" w:eastAsia="黑体"/>
          <w:sz w:val="24"/>
          <w:szCs w:val="24"/>
        </w:rPr>
      </w:pPr>
      <w:r>
        <w:rPr>
          <w:rFonts w:hint="eastAsia" w:ascii="黑体" w:hAnsi="黑体" w:eastAsia="黑体"/>
          <w:sz w:val="24"/>
          <w:szCs w:val="24"/>
        </w:rPr>
        <w:t>口腔临床医学</w:t>
      </w:r>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r>
        <w:rPr>
          <w:rFonts w:ascii="黑体" w:hAnsi="黑体" w:eastAsia="黑体"/>
          <w:sz w:val="24"/>
          <w:szCs w:val="24"/>
        </w:rPr>
        <w:t>三、学习年限</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bCs/>
          <w:szCs w:val="21"/>
        </w:rPr>
      </w:pPr>
      <w:r>
        <w:rPr>
          <w:bCs/>
          <w:szCs w:val="21"/>
        </w:rPr>
        <w:t>学制3-5年。获得硕士学位，经由博士研究生入学考试录取的</w:t>
      </w:r>
      <w:r>
        <w:rPr>
          <w:rFonts w:hint="eastAsia"/>
          <w:bCs/>
          <w:szCs w:val="21"/>
        </w:rPr>
        <w:t>口腔</w:t>
      </w:r>
      <w:r>
        <w:rPr>
          <w:bCs/>
          <w:szCs w:val="21"/>
        </w:rPr>
        <w:t>医学博士研究生学习年限不少于3年，第一年根据本人基础，补足本专业第一阶段培养方案中临床能力训练的要求，第二、三年按照本专业第二阶段培养方案进行培养。</w:t>
      </w:r>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r>
        <w:rPr>
          <w:rFonts w:ascii="黑体" w:hAnsi="黑体" w:eastAsia="黑体"/>
          <w:sz w:val="24"/>
          <w:szCs w:val="24"/>
        </w:rPr>
        <w:t>四、培养方式</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宋体" w:hAnsi="宋体"/>
          <w:szCs w:val="21"/>
        </w:rPr>
      </w:pPr>
      <w:r>
        <w:rPr>
          <w:szCs w:val="21"/>
        </w:rPr>
        <w:t>1．</w:t>
      </w:r>
      <w:r>
        <w:rPr>
          <w:rFonts w:ascii="宋体" w:hAnsi="宋体"/>
          <w:szCs w:val="21"/>
        </w:rPr>
        <w:t>导师小组联合指导，导师负责制。各系、中心应成立以博士生导师为</w:t>
      </w:r>
      <w:r>
        <w:rPr>
          <w:szCs w:val="21"/>
        </w:rPr>
        <w:t>主5</w:t>
      </w:r>
      <w:r>
        <w:rPr>
          <w:rFonts w:ascii="宋体" w:hAnsi="宋体"/>
          <w:szCs w:val="21"/>
        </w:rPr>
        <w:t>人指导小组及课题小组的有关成员，共同协助搞好</w:t>
      </w:r>
      <w:r>
        <w:rPr>
          <w:rFonts w:hint="eastAsia" w:ascii="宋体" w:hAnsi="宋体"/>
          <w:szCs w:val="21"/>
        </w:rPr>
        <w:t>博士</w:t>
      </w:r>
      <w:r>
        <w:rPr>
          <w:rFonts w:ascii="宋体" w:hAnsi="宋体"/>
          <w:szCs w:val="21"/>
        </w:rPr>
        <w:t>研究生的培养工作。</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宋体" w:hAnsi="宋体"/>
          <w:szCs w:val="21"/>
        </w:rPr>
      </w:pPr>
      <w:r>
        <w:rPr>
          <w:szCs w:val="21"/>
        </w:rPr>
        <w:t>2．</w:t>
      </w:r>
      <w:r>
        <w:rPr>
          <w:rFonts w:ascii="宋体" w:hAnsi="宋体"/>
          <w:szCs w:val="21"/>
        </w:rPr>
        <w:t>课程学习要满足需要的学分；课程包括本专业的基础和前沿课程和开展自己研究工作的必要知识和技术，可采用上课、学术报告、国际交流、讨论等方式。</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宋体" w:hAnsi="宋体"/>
          <w:szCs w:val="21"/>
        </w:rPr>
      </w:pPr>
      <w:r>
        <w:rPr>
          <w:szCs w:val="21"/>
        </w:rPr>
        <w:t>3．</w:t>
      </w:r>
      <w:r>
        <w:rPr>
          <w:rFonts w:ascii="宋体" w:hAnsi="宋体"/>
          <w:szCs w:val="21"/>
        </w:rPr>
        <w:t>积极鼓励学生参加会议、讲座等，展丰富多彩的科研活动，营造浓郁的科研氛围，提升学生的科研兴趣，增强学生解决重大科学问题的动力。</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宋体" w:hAnsi="宋体"/>
          <w:szCs w:val="21"/>
        </w:rPr>
      </w:pPr>
      <w:r>
        <w:rPr>
          <w:szCs w:val="21"/>
        </w:rPr>
        <w:t>4．</w:t>
      </w:r>
      <w:r>
        <w:rPr>
          <w:rFonts w:ascii="宋体" w:hAnsi="宋体"/>
          <w:szCs w:val="21"/>
        </w:rPr>
        <w:t>通过课题组、院系的科研汇报会、文献阅读会、小组讨论会，个别指导等形式，逐步强化学生的科研创新能力。</w:t>
      </w:r>
    </w:p>
    <w:p>
      <w:pPr>
        <w:keepNext w:val="0"/>
        <w:keepLines w:val="0"/>
        <w:pageBreakBefore w:val="0"/>
        <w:widowControl w:val="0"/>
        <w:tabs>
          <w:tab w:val="left" w:pos="3900"/>
        </w:tabs>
        <w:kinsoku/>
        <w:wordWrap/>
        <w:overflowPunct/>
        <w:topLinePunct w:val="0"/>
        <w:autoSpaceDE/>
        <w:autoSpaceDN/>
        <w:bidi w:val="0"/>
        <w:spacing w:line="300" w:lineRule="auto"/>
        <w:ind w:firstLine="420" w:firstLineChars="200"/>
        <w:textAlignment w:val="auto"/>
        <w:rPr>
          <w:rFonts w:ascii="宋体" w:hAnsi="宋体"/>
          <w:szCs w:val="21"/>
        </w:rPr>
      </w:pPr>
      <w:r>
        <w:rPr>
          <w:szCs w:val="21"/>
        </w:rPr>
        <w:t>5．</w:t>
      </w:r>
      <w:r>
        <w:rPr>
          <w:rFonts w:ascii="宋体" w:hAnsi="宋体"/>
          <w:szCs w:val="21"/>
        </w:rPr>
        <w:t>加强培养期间的过程管理，第一学年学习专业基础理论，掌握进行科研所必需的基本技能并写出文献综述。从第二年开始在导师指导下进入课题研究和学位论文准备阶段。</w:t>
      </w:r>
      <w:r>
        <w:rPr>
          <w:rFonts w:hint="eastAsia" w:ascii="宋体" w:hAnsi="宋体"/>
          <w:szCs w:val="21"/>
        </w:rPr>
        <w:t>博士生</w:t>
      </w:r>
      <w:r>
        <w:rPr>
          <w:rFonts w:ascii="宋体" w:hAnsi="宋体"/>
          <w:szCs w:val="21"/>
        </w:rPr>
        <w:t>应在第第四学年末完成博士中期考核。</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bCs/>
          <w:szCs w:val="21"/>
        </w:rPr>
      </w:pPr>
      <w:r>
        <w:rPr>
          <w:bCs/>
          <w:szCs w:val="21"/>
        </w:rPr>
        <w:t>6．思想品德考核：申请人在申请临床医学博士专业学位前，必须首先进行该项考核，考核通过，经所在学院主管部门审核合格者方可进行临床能力考核和学位论文答辩。</w:t>
      </w:r>
    </w:p>
    <w:p>
      <w:pPr>
        <w:keepNext w:val="0"/>
        <w:keepLines w:val="0"/>
        <w:pageBreakBefore w:val="0"/>
        <w:widowControl w:val="0"/>
        <w:kinsoku/>
        <w:wordWrap/>
        <w:overflowPunct/>
        <w:topLinePunct w:val="0"/>
        <w:autoSpaceDE/>
        <w:autoSpaceDN/>
        <w:bidi w:val="0"/>
        <w:adjustRightInd w:val="0"/>
        <w:snapToGrid w:val="0"/>
        <w:spacing w:line="300" w:lineRule="auto"/>
        <w:ind w:firstLine="422" w:firstLineChars="200"/>
        <w:textAlignment w:val="auto"/>
        <w:rPr>
          <w:bCs/>
          <w:szCs w:val="21"/>
        </w:rPr>
      </w:pPr>
      <w:r>
        <w:rPr>
          <w:b/>
          <w:bCs/>
          <w:szCs w:val="21"/>
        </w:rPr>
        <w:t>考核内容：</w:t>
      </w:r>
      <w:r>
        <w:rPr>
          <w:bCs/>
          <w:szCs w:val="21"/>
        </w:rPr>
        <w:t>（1）敬业精神和工作责任心；（2）医疗作风与科学作风；（3）医疗道德与服务态度；（4）团结协作与人际关系；（5）遵纪守法及劳动纪律。</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bCs/>
          <w:szCs w:val="21"/>
        </w:rPr>
      </w:pPr>
      <w:r>
        <w:rPr>
          <w:bCs/>
          <w:szCs w:val="21"/>
        </w:rPr>
        <w:t>7．临床综合能力考核：临床综合能力包括临床专业知识、临床分析能力、临床诊疗能力、临床技术操作能力，以及阅读专业外文文献的能力等等。针对博士生的培养要求，申请人在培养过程中以及申请学位时必须通过相应的考核。 临床综合能力考核采取定性与定量相结合、一次考核与平时考核相结合以及自我评价与专家考核相结合的方式。</w:t>
      </w:r>
    </w:p>
    <w:p>
      <w:pPr>
        <w:keepNext w:val="0"/>
        <w:keepLines w:val="0"/>
        <w:pageBreakBefore w:val="0"/>
        <w:widowControl w:val="0"/>
        <w:kinsoku/>
        <w:wordWrap/>
        <w:overflowPunct/>
        <w:topLinePunct w:val="0"/>
        <w:autoSpaceDE/>
        <w:autoSpaceDN/>
        <w:bidi w:val="0"/>
        <w:adjustRightInd w:val="0"/>
        <w:snapToGrid w:val="0"/>
        <w:spacing w:line="300" w:lineRule="auto"/>
        <w:ind w:firstLine="422" w:firstLineChars="200"/>
        <w:textAlignment w:val="auto"/>
        <w:rPr>
          <w:bCs/>
          <w:szCs w:val="21"/>
        </w:rPr>
      </w:pPr>
      <w:r>
        <w:rPr>
          <w:b/>
          <w:bCs/>
          <w:szCs w:val="21"/>
        </w:rPr>
        <w:t>考核内容：</w:t>
      </w:r>
      <w:r>
        <w:rPr>
          <w:bCs/>
          <w:szCs w:val="21"/>
        </w:rPr>
        <w:t>（1）转科考核：考查申请人在第一阶段是否按照培养方案完成各轮转科室的要求，是否掌握了本科室的基本理论和基本技能，是否具有良好的医德医风；（2）阶段考核：包括临床技能、临床思维能力、专业课及专业外语的考核。本考核既是临床能力训练第二阶段的合格考核，也是学位课程考试，同时也作为</w:t>
      </w:r>
      <w:r>
        <w:rPr>
          <w:rFonts w:hint="eastAsia"/>
          <w:bCs/>
          <w:szCs w:val="21"/>
        </w:rPr>
        <w:t>口腔</w:t>
      </w:r>
      <w:r>
        <w:rPr>
          <w:bCs/>
          <w:szCs w:val="21"/>
        </w:rPr>
        <w:t>临床医学博士专业学位申请人的临床能力毕业考核，申请人转科考核及思想品德考核合格后，方可进行阶段考核。</w:t>
      </w:r>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eastAsia="黑体"/>
          <w:sz w:val="24"/>
          <w:szCs w:val="24"/>
        </w:rPr>
      </w:pPr>
      <w:r>
        <w:rPr>
          <w:rFonts w:eastAsia="黑体"/>
          <w:sz w:val="24"/>
          <w:szCs w:val="24"/>
        </w:rPr>
        <w:t>五、课程设置及学分要求（49学分）</w:t>
      </w:r>
    </w:p>
    <w:tbl>
      <w:tblPr>
        <w:tblStyle w:val="37"/>
        <w:tblW w:w="48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1589"/>
        <w:gridCol w:w="1162"/>
        <w:gridCol w:w="1372"/>
        <w:gridCol w:w="2358"/>
        <w:gridCol w:w="813"/>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3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
                <w:szCs w:val="21"/>
              </w:rPr>
            </w:pPr>
            <w:r>
              <w:rPr>
                <w:b/>
                <w:szCs w:val="21"/>
              </w:rPr>
              <w:t>课程类型</w:t>
            </w:r>
          </w:p>
        </w:tc>
        <w:tc>
          <w:tcPr>
            <w:tcW w:w="9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
                <w:szCs w:val="21"/>
              </w:rPr>
            </w:pPr>
            <w:r>
              <w:rPr>
                <w:b/>
                <w:szCs w:val="21"/>
              </w:rPr>
              <w:t>课程性质</w:t>
            </w:r>
          </w:p>
        </w:tc>
        <w:tc>
          <w:tcPr>
            <w:tcW w:w="6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
                <w:szCs w:val="21"/>
              </w:rPr>
            </w:pPr>
            <w:r>
              <w:rPr>
                <w:b/>
                <w:szCs w:val="21"/>
              </w:rPr>
              <w:t>课程编号</w:t>
            </w:r>
          </w:p>
        </w:tc>
        <w:tc>
          <w:tcPr>
            <w:tcW w:w="7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
                <w:szCs w:val="21"/>
              </w:rPr>
            </w:pPr>
            <w:r>
              <w:rPr>
                <w:rFonts w:hint="eastAsia"/>
                <w:b/>
                <w:szCs w:val="21"/>
              </w:rPr>
              <w:t>统一编码</w:t>
            </w:r>
          </w:p>
        </w:tc>
        <w:tc>
          <w:tcPr>
            <w:tcW w:w="13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
                <w:szCs w:val="21"/>
              </w:rPr>
            </w:pPr>
            <w:r>
              <w:rPr>
                <w:b/>
                <w:szCs w:val="21"/>
              </w:rPr>
              <w:t>课程名称</w:t>
            </w:r>
          </w:p>
        </w:tc>
        <w:tc>
          <w:tcPr>
            <w:tcW w:w="4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
                <w:szCs w:val="21"/>
              </w:rPr>
            </w:pPr>
            <w:r>
              <w:rPr>
                <w:b/>
                <w:szCs w:val="21"/>
              </w:rPr>
              <w:t>学分</w:t>
            </w:r>
          </w:p>
        </w:tc>
        <w:tc>
          <w:tcPr>
            <w:tcW w:w="50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b/>
                <w:szCs w:val="21"/>
              </w:rPr>
            </w:pPr>
            <w:r>
              <w:rPr>
                <w:b/>
                <w:szCs w:val="21"/>
              </w:rPr>
              <w:t>应修学分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 w:type="pct"/>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rFonts w:hint="eastAsia"/>
                <w:szCs w:val="21"/>
              </w:rPr>
              <w:t>学位课</w:t>
            </w:r>
          </w:p>
        </w:tc>
        <w:tc>
          <w:tcPr>
            <w:tcW w:w="909"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u w:val="single"/>
              </w:rPr>
            </w:pPr>
            <w:r>
              <w:rPr>
                <w:rFonts w:hint="eastAsia"/>
                <w:szCs w:val="21"/>
              </w:rPr>
              <w:t>校公共学位课</w:t>
            </w:r>
          </w:p>
        </w:tc>
        <w:tc>
          <w:tcPr>
            <w:tcW w:w="665"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141006</w:t>
            </w:r>
          </w:p>
        </w:tc>
        <w:tc>
          <w:tcPr>
            <w:tcW w:w="785"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rFonts w:hint="eastAsia" w:ascii="宋体" w:hAnsi="宋体"/>
                <w:szCs w:val="21"/>
              </w:rPr>
              <w:t>MLMD600114</w:t>
            </w:r>
          </w:p>
        </w:tc>
        <w:tc>
          <w:tcPr>
            <w:tcW w:w="1349"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szCs w:val="21"/>
              </w:rPr>
              <w:t>中国马克思主义与当代</w:t>
            </w:r>
          </w:p>
        </w:tc>
        <w:tc>
          <w:tcPr>
            <w:tcW w:w="465"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2</w:t>
            </w:r>
          </w:p>
        </w:tc>
        <w:tc>
          <w:tcPr>
            <w:tcW w:w="503"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p>
        </w:tc>
        <w:tc>
          <w:tcPr>
            <w:tcW w:w="909"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院公共学位课</w:t>
            </w:r>
          </w:p>
        </w:tc>
        <w:tc>
          <w:tcPr>
            <w:tcW w:w="665"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152078</w:t>
            </w:r>
          </w:p>
        </w:tc>
        <w:tc>
          <w:tcPr>
            <w:tcW w:w="785"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BASM6118</w:t>
            </w:r>
            <w:r>
              <w:rPr>
                <w:rFonts w:hint="eastAsia" w:ascii="宋体" w:hAnsi="宋体"/>
                <w:szCs w:val="21"/>
              </w:rPr>
              <w:t>15</w:t>
            </w:r>
          </w:p>
        </w:tc>
        <w:tc>
          <w:tcPr>
            <w:tcW w:w="1349"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szCs w:val="21"/>
              </w:rPr>
              <w:t>诺贝尔奖论文剖析</w:t>
            </w:r>
          </w:p>
        </w:tc>
        <w:tc>
          <w:tcPr>
            <w:tcW w:w="465"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2</w:t>
            </w:r>
          </w:p>
        </w:tc>
        <w:tc>
          <w:tcPr>
            <w:tcW w:w="503"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p>
        </w:tc>
        <w:tc>
          <w:tcPr>
            <w:tcW w:w="909"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6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152138</w:t>
            </w:r>
          </w:p>
        </w:tc>
        <w:tc>
          <w:tcPr>
            <w:tcW w:w="7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ENGL8501</w:t>
            </w:r>
            <w:r>
              <w:rPr>
                <w:rFonts w:hint="eastAsia" w:ascii="宋体" w:hAnsi="宋体"/>
                <w:szCs w:val="21"/>
              </w:rPr>
              <w:t>15</w:t>
            </w:r>
          </w:p>
        </w:tc>
        <w:tc>
          <w:tcPr>
            <w:tcW w:w="13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szCs w:val="21"/>
              </w:rPr>
              <w:t>医学专业英语（3）</w:t>
            </w:r>
          </w:p>
        </w:tc>
        <w:tc>
          <w:tcPr>
            <w:tcW w:w="4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2</w:t>
            </w:r>
          </w:p>
        </w:tc>
        <w:tc>
          <w:tcPr>
            <w:tcW w:w="503"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p>
        </w:tc>
        <w:tc>
          <w:tcPr>
            <w:tcW w:w="909" w:type="pc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210" w:firstLineChars="100"/>
              <w:textAlignment w:val="auto"/>
              <w:rPr>
                <w:szCs w:val="21"/>
              </w:rPr>
            </w:pPr>
            <w:r>
              <w:rPr>
                <w:szCs w:val="21"/>
              </w:rPr>
              <w:t>专业必修课</w:t>
            </w:r>
          </w:p>
        </w:tc>
        <w:tc>
          <w:tcPr>
            <w:tcW w:w="6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162005</w:t>
            </w:r>
          </w:p>
        </w:tc>
        <w:tc>
          <w:tcPr>
            <w:tcW w:w="7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STOM7102</w:t>
            </w:r>
            <w:r>
              <w:rPr>
                <w:rFonts w:hint="eastAsia" w:ascii="宋体" w:hAnsi="宋体"/>
                <w:szCs w:val="21"/>
              </w:rPr>
              <w:t>15</w:t>
            </w:r>
          </w:p>
        </w:tc>
        <w:tc>
          <w:tcPr>
            <w:tcW w:w="13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rFonts w:hint="eastAsia"/>
                <w:szCs w:val="21"/>
              </w:rPr>
              <w:t>口腔临床医学（2）</w:t>
            </w:r>
          </w:p>
        </w:tc>
        <w:tc>
          <w:tcPr>
            <w:tcW w:w="4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rFonts w:hint="eastAsia"/>
                <w:szCs w:val="21"/>
              </w:rPr>
              <w:t>2</w:t>
            </w:r>
          </w:p>
        </w:tc>
        <w:tc>
          <w:tcPr>
            <w:tcW w:w="503"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p>
        </w:tc>
        <w:tc>
          <w:tcPr>
            <w:tcW w:w="909" w:type="pct"/>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临床实践</w:t>
            </w:r>
          </w:p>
        </w:tc>
        <w:tc>
          <w:tcPr>
            <w:tcW w:w="6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152134</w:t>
            </w:r>
          </w:p>
        </w:tc>
        <w:tc>
          <w:tcPr>
            <w:tcW w:w="7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CLIM8501</w:t>
            </w:r>
            <w:r>
              <w:rPr>
                <w:rFonts w:hint="eastAsia" w:ascii="宋体" w:hAnsi="宋体"/>
                <w:szCs w:val="21"/>
              </w:rPr>
              <w:t>15</w:t>
            </w:r>
          </w:p>
        </w:tc>
        <w:tc>
          <w:tcPr>
            <w:tcW w:w="13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szCs w:val="21"/>
              </w:rPr>
              <w:t>临床技能（3）</w:t>
            </w:r>
          </w:p>
        </w:tc>
        <w:tc>
          <w:tcPr>
            <w:tcW w:w="4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11</w:t>
            </w:r>
          </w:p>
        </w:tc>
        <w:tc>
          <w:tcPr>
            <w:tcW w:w="503" w:type="pct"/>
            <w:vMerge w:val="restart"/>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szCs w:val="21"/>
              </w:rPr>
            </w:pPr>
          </w:p>
        </w:tc>
        <w:tc>
          <w:tcPr>
            <w:tcW w:w="909"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6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152135</w:t>
            </w:r>
          </w:p>
        </w:tc>
        <w:tc>
          <w:tcPr>
            <w:tcW w:w="7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CLIM8502</w:t>
            </w:r>
            <w:r>
              <w:rPr>
                <w:rFonts w:hint="eastAsia" w:ascii="宋体" w:hAnsi="宋体"/>
                <w:szCs w:val="21"/>
              </w:rPr>
              <w:t>15</w:t>
            </w:r>
          </w:p>
        </w:tc>
        <w:tc>
          <w:tcPr>
            <w:tcW w:w="13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szCs w:val="21"/>
              </w:rPr>
              <w:t>临床思维能力（3）</w:t>
            </w:r>
          </w:p>
        </w:tc>
        <w:tc>
          <w:tcPr>
            <w:tcW w:w="4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10</w:t>
            </w:r>
          </w:p>
        </w:tc>
        <w:tc>
          <w:tcPr>
            <w:tcW w:w="503" w:type="pct"/>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选修课</w:t>
            </w:r>
          </w:p>
        </w:tc>
        <w:tc>
          <w:tcPr>
            <w:tcW w:w="90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专业选修课</w:t>
            </w:r>
          </w:p>
        </w:tc>
        <w:tc>
          <w:tcPr>
            <w:tcW w:w="6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7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w:t>
            </w:r>
          </w:p>
        </w:tc>
        <w:tc>
          <w:tcPr>
            <w:tcW w:w="13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szCs w:val="21"/>
              </w:rPr>
              <w:t>研究生课程目录上选修</w:t>
            </w:r>
          </w:p>
        </w:tc>
        <w:tc>
          <w:tcPr>
            <w:tcW w:w="4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≥4</w:t>
            </w:r>
          </w:p>
        </w:tc>
        <w:tc>
          <w:tcPr>
            <w:tcW w:w="50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必修环节</w:t>
            </w:r>
          </w:p>
        </w:tc>
        <w:tc>
          <w:tcPr>
            <w:tcW w:w="909"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w:t>
            </w:r>
          </w:p>
        </w:tc>
        <w:tc>
          <w:tcPr>
            <w:tcW w:w="665"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001999</w:t>
            </w:r>
          </w:p>
        </w:tc>
        <w:tc>
          <w:tcPr>
            <w:tcW w:w="785"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BXHJ8003</w:t>
            </w:r>
            <w:r>
              <w:rPr>
                <w:rFonts w:hint="eastAsia" w:ascii="宋体" w:hAnsi="宋体"/>
                <w:szCs w:val="21"/>
              </w:rPr>
              <w:t>99</w:t>
            </w:r>
          </w:p>
        </w:tc>
        <w:tc>
          <w:tcPr>
            <w:tcW w:w="13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szCs w:val="21"/>
              </w:rPr>
              <w:t>学术活动（讲座）博</w:t>
            </w:r>
          </w:p>
        </w:tc>
        <w:tc>
          <w:tcPr>
            <w:tcW w:w="4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2</w:t>
            </w:r>
          </w:p>
        </w:tc>
        <w:tc>
          <w:tcPr>
            <w:tcW w:w="503" w:type="pct"/>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909"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665"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001986</w:t>
            </w:r>
          </w:p>
        </w:tc>
        <w:tc>
          <w:tcPr>
            <w:tcW w:w="785"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BXHJ8004</w:t>
            </w:r>
            <w:r>
              <w:rPr>
                <w:rFonts w:hint="eastAsia" w:ascii="宋体" w:hAnsi="宋体"/>
                <w:szCs w:val="21"/>
              </w:rPr>
              <w:t>99</w:t>
            </w:r>
          </w:p>
        </w:tc>
        <w:tc>
          <w:tcPr>
            <w:tcW w:w="13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szCs w:val="21"/>
              </w:rPr>
              <w:t>开题报告（博）</w:t>
            </w:r>
          </w:p>
        </w:tc>
        <w:tc>
          <w:tcPr>
            <w:tcW w:w="4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2</w:t>
            </w:r>
          </w:p>
        </w:tc>
        <w:tc>
          <w:tcPr>
            <w:tcW w:w="503"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909"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665"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001994</w:t>
            </w:r>
          </w:p>
        </w:tc>
        <w:tc>
          <w:tcPr>
            <w:tcW w:w="785" w:type="pc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BXHJ8001</w:t>
            </w:r>
            <w:r>
              <w:rPr>
                <w:rFonts w:hint="eastAsia" w:ascii="宋体" w:hAnsi="宋体"/>
                <w:szCs w:val="21"/>
              </w:rPr>
              <w:t>99</w:t>
            </w:r>
          </w:p>
        </w:tc>
        <w:tc>
          <w:tcPr>
            <w:tcW w:w="13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szCs w:val="21"/>
              </w:rPr>
              <w:t>中期考核（博）</w:t>
            </w:r>
          </w:p>
        </w:tc>
        <w:tc>
          <w:tcPr>
            <w:tcW w:w="4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6</w:t>
            </w:r>
          </w:p>
        </w:tc>
        <w:tc>
          <w:tcPr>
            <w:tcW w:w="503"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909"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6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001995</w:t>
            </w:r>
          </w:p>
        </w:tc>
        <w:tc>
          <w:tcPr>
            <w:tcW w:w="7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BXHJ8002</w:t>
            </w:r>
            <w:r>
              <w:rPr>
                <w:rFonts w:hint="eastAsia" w:ascii="宋体" w:hAnsi="宋体"/>
                <w:szCs w:val="21"/>
              </w:rPr>
              <w:t>99</w:t>
            </w:r>
          </w:p>
        </w:tc>
        <w:tc>
          <w:tcPr>
            <w:tcW w:w="13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szCs w:val="21"/>
              </w:rPr>
              <w:t>基金撰写</w:t>
            </w:r>
          </w:p>
        </w:tc>
        <w:tc>
          <w:tcPr>
            <w:tcW w:w="4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1</w:t>
            </w:r>
          </w:p>
        </w:tc>
        <w:tc>
          <w:tcPr>
            <w:tcW w:w="503"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909"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6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001972</w:t>
            </w:r>
          </w:p>
        </w:tc>
        <w:tc>
          <w:tcPr>
            <w:tcW w:w="7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BXHJ8007</w:t>
            </w:r>
            <w:r>
              <w:rPr>
                <w:rFonts w:hint="eastAsia" w:ascii="宋体" w:hAnsi="宋体"/>
                <w:szCs w:val="21"/>
              </w:rPr>
              <w:t>99</w:t>
            </w:r>
          </w:p>
        </w:tc>
        <w:tc>
          <w:tcPr>
            <w:tcW w:w="13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left"/>
              <w:textAlignment w:val="auto"/>
              <w:rPr>
                <w:szCs w:val="21"/>
              </w:rPr>
            </w:pPr>
            <w:r>
              <w:rPr>
                <w:szCs w:val="21"/>
              </w:rPr>
              <w:t>两助一辅</w:t>
            </w:r>
          </w:p>
        </w:tc>
        <w:tc>
          <w:tcPr>
            <w:tcW w:w="4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2</w:t>
            </w:r>
          </w:p>
        </w:tc>
        <w:tc>
          <w:tcPr>
            <w:tcW w:w="503"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909"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6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7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p>
        </w:tc>
        <w:tc>
          <w:tcPr>
            <w:tcW w:w="13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rFonts w:hint="eastAsia" w:ascii="Calibri" w:hAnsi="Calibri"/>
                <w:szCs w:val="21"/>
              </w:rPr>
              <w:t>文献阅读</w:t>
            </w:r>
          </w:p>
        </w:tc>
        <w:tc>
          <w:tcPr>
            <w:tcW w:w="4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2</w:t>
            </w:r>
          </w:p>
        </w:tc>
        <w:tc>
          <w:tcPr>
            <w:tcW w:w="503"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909"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6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001970</w:t>
            </w:r>
          </w:p>
        </w:tc>
        <w:tc>
          <w:tcPr>
            <w:tcW w:w="7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ascii="宋体" w:hAnsi="宋体"/>
                <w:szCs w:val="21"/>
              </w:rPr>
              <w:t>BXHJ800999</w:t>
            </w:r>
          </w:p>
        </w:tc>
        <w:tc>
          <w:tcPr>
            <w:tcW w:w="13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szCs w:val="21"/>
              </w:rPr>
              <w:t>国际化交流</w:t>
            </w:r>
          </w:p>
        </w:tc>
        <w:tc>
          <w:tcPr>
            <w:tcW w:w="4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szCs w:val="21"/>
              </w:rPr>
              <w:t>1</w:t>
            </w:r>
          </w:p>
        </w:tc>
        <w:tc>
          <w:tcPr>
            <w:tcW w:w="503"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909"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665"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rFonts w:hint="eastAsia"/>
                <w:kern w:val="0"/>
                <w:szCs w:val="21"/>
              </w:rPr>
              <w:t>001954</w:t>
            </w:r>
          </w:p>
        </w:tc>
        <w:tc>
          <w:tcPr>
            <w:tcW w:w="7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szCs w:val="21"/>
              </w:rPr>
            </w:pPr>
            <w:r>
              <w:rPr>
                <w:rFonts w:hint="eastAsia" w:ascii="宋体" w:hAnsi="宋体"/>
                <w:szCs w:val="21"/>
              </w:rPr>
              <w:t>B</w:t>
            </w:r>
            <w:r>
              <w:rPr>
                <w:rFonts w:ascii="宋体" w:hAnsi="宋体"/>
                <w:szCs w:val="21"/>
              </w:rPr>
              <w:t>XHJ602499</w:t>
            </w:r>
          </w:p>
        </w:tc>
        <w:tc>
          <w:tcPr>
            <w:tcW w:w="13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szCs w:val="21"/>
              </w:rPr>
            </w:pPr>
            <w:r>
              <w:rPr>
                <w:rFonts w:hint="eastAsia"/>
                <w:kern w:val="0"/>
                <w:szCs w:val="21"/>
              </w:rPr>
              <w:t>劳动教育</w:t>
            </w:r>
          </w:p>
        </w:tc>
        <w:tc>
          <w:tcPr>
            <w:tcW w:w="4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r>
              <w:rPr>
                <w:rFonts w:hint="eastAsia"/>
                <w:kern w:val="0"/>
                <w:szCs w:val="21"/>
              </w:rPr>
              <w:t>0</w:t>
            </w:r>
          </w:p>
        </w:tc>
        <w:tc>
          <w:tcPr>
            <w:tcW w:w="503"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909"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szCs w:val="21"/>
              </w:rPr>
            </w:pPr>
          </w:p>
        </w:tc>
        <w:tc>
          <w:tcPr>
            <w:tcW w:w="665"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kern w:val="0"/>
                <w:szCs w:val="21"/>
              </w:rPr>
            </w:pPr>
            <w:r>
              <w:rPr>
                <w:rFonts w:hint="eastAsia"/>
                <w:kern w:val="0"/>
                <w:szCs w:val="21"/>
              </w:rPr>
              <w:t>001955</w:t>
            </w:r>
          </w:p>
        </w:tc>
        <w:tc>
          <w:tcPr>
            <w:tcW w:w="7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szCs w:val="21"/>
              </w:rPr>
            </w:pPr>
            <w:r>
              <w:rPr>
                <w:rFonts w:hint="eastAsia" w:ascii="宋体" w:hAnsi="宋体"/>
                <w:szCs w:val="21"/>
              </w:rPr>
              <w:t>B</w:t>
            </w:r>
            <w:r>
              <w:rPr>
                <w:rFonts w:ascii="宋体" w:hAnsi="宋体"/>
                <w:szCs w:val="21"/>
              </w:rPr>
              <w:t>XHJ602399</w:t>
            </w:r>
          </w:p>
        </w:tc>
        <w:tc>
          <w:tcPr>
            <w:tcW w:w="13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kern w:val="0"/>
                <w:szCs w:val="21"/>
              </w:rPr>
            </w:pPr>
            <w:r>
              <w:rPr>
                <w:rFonts w:hint="eastAsia"/>
                <w:kern w:val="0"/>
                <w:szCs w:val="21"/>
              </w:rPr>
              <w:t>美育</w:t>
            </w:r>
          </w:p>
        </w:tc>
        <w:tc>
          <w:tcPr>
            <w:tcW w:w="4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kern w:val="0"/>
                <w:szCs w:val="21"/>
              </w:rPr>
            </w:pPr>
            <w:r>
              <w:rPr>
                <w:rFonts w:hint="eastAsia"/>
                <w:kern w:val="0"/>
                <w:szCs w:val="21"/>
              </w:rPr>
              <w:t>0</w:t>
            </w:r>
          </w:p>
        </w:tc>
        <w:tc>
          <w:tcPr>
            <w:tcW w:w="503"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21"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c>
          <w:tcPr>
            <w:tcW w:w="909"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kern w:val="0"/>
                <w:szCs w:val="21"/>
              </w:rPr>
            </w:pPr>
          </w:p>
        </w:tc>
        <w:tc>
          <w:tcPr>
            <w:tcW w:w="665"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kern w:val="0"/>
                <w:szCs w:val="21"/>
              </w:rPr>
            </w:pPr>
            <w:r>
              <w:rPr>
                <w:rFonts w:hint="eastAsia"/>
                <w:kern w:val="0"/>
                <w:szCs w:val="21"/>
              </w:rPr>
              <w:t>001956</w:t>
            </w:r>
          </w:p>
        </w:tc>
        <w:tc>
          <w:tcPr>
            <w:tcW w:w="7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szCs w:val="21"/>
              </w:rPr>
            </w:pPr>
            <w:r>
              <w:rPr>
                <w:rFonts w:hint="eastAsia" w:ascii="宋体" w:hAnsi="宋体"/>
                <w:szCs w:val="21"/>
              </w:rPr>
              <w:t>B</w:t>
            </w:r>
            <w:r>
              <w:rPr>
                <w:rFonts w:ascii="宋体" w:hAnsi="宋体"/>
                <w:szCs w:val="21"/>
              </w:rPr>
              <w:t>XHJ602299</w:t>
            </w:r>
          </w:p>
        </w:tc>
        <w:tc>
          <w:tcPr>
            <w:tcW w:w="13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kern w:val="0"/>
                <w:szCs w:val="21"/>
              </w:rPr>
            </w:pPr>
            <w:r>
              <w:rPr>
                <w:rFonts w:hint="eastAsia"/>
                <w:kern w:val="0"/>
                <w:szCs w:val="21"/>
              </w:rPr>
              <w:t>体育</w:t>
            </w:r>
          </w:p>
        </w:tc>
        <w:tc>
          <w:tcPr>
            <w:tcW w:w="46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kern w:val="0"/>
                <w:szCs w:val="21"/>
              </w:rPr>
            </w:pPr>
            <w:r>
              <w:rPr>
                <w:rFonts w:hint="eastAsia"/>
                <w:kern w:val="0"/>
                <w:szCs w:val="21"/>
              </w:rPr>
              <w:t>0</w:t>
            </w:r>
          </w:p>
        </w:tc>
        <w:tc>
          <w:tcPr>
            <w:tcW w:w="503" w:type="pct"/>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szCs w:val="21"/>
              </w:rPr>
            </w:pPr>
          </w:p>
        </w:tc>
      </w:tr>
    </w:tbl>
    <w:p>
      <w:pPr>
        <w:pageBreakBefore w:val="0"/>
        <w:widowControl w:val="0"/>
        <w:kinsoku/>
        <w:wordWrap/>
        <w:overflowPunct/>
        <w:topLinePunct w:val="0"/>
        <w:autoSpaceDE/>
        <w:autoSpaceDN/>
        <w:bidi w:val="0"/>
        <w:spacing w:before="95" w:beforeLines="30" w:after="95" w:afterLines="30" w:line="300" w:lineRule="auto"/>
        <w:textAlignment w:val="auto"/>
        <w:rPr>
          <w:rFonts w:ascii="黑体" w:hAnsi="黑体" w:eastAsia="黑体"/>
          <w:sz w:val="24"/>
          <w:szCs w:val="24"/>
        </w:rPr>
      </w:pPr>
      <w:r>
        <w:rPr>
          <w:rFonts w:ascii="黑体" w:hAnsi="黑体" w:eastAsia="黑体"/>
          <w:sz w:val="24"/>
          <w:szCs w:val="24"/>
        </w:rPr>
        <w:t>六、</w:t>
      </w:r>
      <w:r>
        <w:rPr>
          <w:rFonts w:hint="eastAsia" w:ascii="黑体" w:hAnsi="黑体" w:eastAsia="黑体"/>
          <w:sz w:val="24"/>
          <w:szCs w:val="24"/>
        </w:rPr>
        <w:t>必修</w:t>
      </w:r>
      <w:r>
        <w:rPr>
          <w:rFonts w:ascii="黑体" w:hAnsi="黑体" w:eastAsia="黑体"/>
          <w:sz w:val="24"/>
          <w:szCs w:val="24"/>
        </w:rPr>
        <w:t>环节</w:t>
      </w:r>
    </w:p>
    <w:p>
      <w:pPr>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b/>
          <w:bCs/>
          <w:szCs w:val="21"/>
        </w:rPr>
      </w:pPr>
      <w:r>
        <w:rPr>
          <w:b/>
          <w:bCs/>
          <w:szCs w:val="21"/>
        </w:rPr>
        <w:t>1</w:t>
      </w:r>
      <w:r>
        <w:rPr>
          <w:rFonts w:hint="eastAsia"/>
          <w:b/>
          <w:bCs/>
          <w:szCs w:val="21"/>
        </w:rPr>
        <w:t>．学</w:t>
      </w:r>
      <w:r>
        <w:rPr>
          <w:b/>
          <w:bCs/>
          <w:szCs w:val="21"/>
        </w:rPr>
        <w:t>术活动（讲座）</w:t>
      </w:r>
    </w:p>
    <w:p>
      <w:pPr>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szCs w:val="21"/>
        </w:rPr>
      </w:pPr>
      <w:r>
        <w:rPr>
          <w:szCs w:val="21"/>
        </w:rPr>
        <w:t>博士研究生学术活动（讲座）分为必听讲座和选听讲座。必听讲座为</w:t>
      </w:r>
      <w:r>
        <w:rPr>
          <w:rFonts w:ascii="宋体" w:hAnsi="宋体"/>
          <w:szCs w:val="21"/>
        </w:rPr>
        <w:t>“科学道德与学风建设”</w:t>
      </w:r>
      <w:r>
        <w:rPr>
          <w:szCs w:val="21"/>
        </w:rPr>
        <w:t>；选听讲座包括与学科紧密相关</w:t>
      </w:r>
      <w:r>
        <w:rPr>
          <w:rFonts w:ascii="宋体" w:hAnsi="宋体"/>
          <w:szCs w:val="21"/>
        </w:rPr>
        <w:t>的“学</w:t>
      </w:r>
      <w:r>
        <w:rPr>
          <w:szCs w:val="21"/>
        </w:rPr>
        <w:t>科前沿系列专题</w:t>
      </w:r>
      <w:r>
        <w:rPr>
          <w:rFonts w:ascii="宋体" w:hAnsi="宋体"/>
          <w:szCs w:val="21"/>
        </w:rPr>
        <w:t>讲座”（</w:t>
      </w:r>
      <w:r>
        <w:rPr>
          <w:szCs w:val="21"/>
        </w:rPr>
        <w:t>由各二级学科组织若干教授对本学科前沿知识进行讲座，每个讲座由5个以上讲座组成）一个系列和在全校范围内选听</w:t>
      </w:r>
      <w:r>
        <w:rPr>
          <w:rFonts w:ascii="宋体" w:hAnsi="宋体"/>
          <w:szCs w:val="21"/>
        </w:rPr>
        <w:t>“学术讲座”</w:t>
      </w:r>
      <w:r>
        <w:rPr>
          <w:szCs w:val="21"/>
        </w:rPr>
        <w:t>1次，自己公开讲座1次，完成后记2学分。</w:t>
      </w:r>
    </w:p>
    <w:p>
      <w:pPr>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rFonts w:ascii="宋体" w:hAnsi="宋体"/>
          <w:szCs w:val="21"/>
        </w:rPr>
      </w:pPr>
      <w:r>
        <w:rPr>
          <w:b/>
          <w:bCs/>
          <w:szCs w:val="21"/>
        </w:rPr>
        <w:t>2</w:t>
      </w:r>
      <w:r>
        <w:rPr>
          <w:rFonts w:hint="eastAsia"/>
          <w:b/>
          <w:bCs/>
          <w:szCs w:val="21"/>
        </w:rPr>
        <w:t>．</w:t>
      </w:r>
      <w:r>
        <w:rPr>
          <w:b/>
          <w:bCs/>
          <w:szCs w:val="21"/>
        </w:rPr>
        <w:t>两助一辅</w:t>
      </w:r>
    </w:p>
    <w:p>
      <w:pPr>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宋体" w:hAnsi="宋体"/>
          <w:szCs w:val="21"/>
        </w:rPr>
      </w:pPr>
      <w:r>
        <w:rPr>
          <w:rFonts w:hint="eastAsia" w:ascii="宋体" w:hAnsi="宋体"/>
          <w:szCs w:val="21"/>
        </w:rPr>
        <w:t>“</w:t>
      </w:r>
      <w:r>
        <w:rPr>
          <w:rFonts w:ascii="宋体" w:hAnsi="宋体"/>
          <w:szCs w:val="21"/>
        </w:rPr>
        <w:t>两助一辅</w:t>
      </w:r>
      <w:r>
        <w:rPr>
          <w:rFonts w:hint="eastAsia" w:ascii="宋体" w:hAnsi="宋体"/>
          <w:szCs w:val="21"/>
        </w:rPr>
        <w:t>”</w:t>
      </w:r>
      <w:r>
        <w:rPr>
          <w:rFonts w:ascii="宋体" w:hAnsi="宋体"/>
          <w:szCs w:val="21"/>
        </w:rPr>
        <w:t>是指研究生担任助教、助管和辅导员工作，其目的是培养研究生的综合能力，是研究生培养过程的有机组成部分。</w:t>
      </w:r>
    </w:p>
    <w:p>
      <w:pPr>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宋体" w:hAnsi="宋体"/>
          <w:szCs w:val="21"/>
        </w:rPr>
      </w:pPr>
      <w:r>
        <w:rPr>
          <w:rFonts w:ascii="宋体" w:hAnsi="宋体"/>
          <w:szCs w:val="21"/>
        </w:rPr>
        <w:t>全日制博士研究生在培养过程中必须完成至少一个标准岗位的助教、助管或辅导员工作。该环节纳入学分管理，通过后记</w:t>
      </w:r>
      <w:r>
        <w:rPr>
          <w:szCs w:val="21"/>
        </w:rPr>
        <w:t>2</w:t>
      </w:r>
      <w:r>
        <w:rPr>
          <w:rFonts w:ascii="宋体" w:hAnsi="宋体"/>
          <w:szCs w:val="21"/>
        </w:rPr>
        <w:t>学分。</w:t>
      </w:r>
    </w:p>
    <w:p>
      <w:pPr>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b/>
          <w:bCs/>
          <w:szCs w:val="21"/>
        </w:rPr>
      </w:pPr>
      <w:r>
        <w:rPr>
          <w:b/>
          <w:bCs/>
          <w:szCs w:val="21"/>
        </w:rPr>
        <w:t>3</w:t>
      </w:r>
      <w:r>
        <w:rPr>
          <w:rFonts w:hint="eastAsia"/>
          <w:b/>
          <w:bCs/>
          <w:szCs w:val="21"/>
        </w:rPr>
        <w:t>．</w:t>
      </w:r>
      <w:r>
        <w:rPr>
          <w:b/>
          <w:bCs/>
          <w:szCs w:val="21"/>
        </w:rPr>
        <w:t>基金撰写</w:t>
      </w:r>
    </w:p>
    <w:p>
      <w:pPr>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宋体" w:hAnsi="宋体"/>
          <w:kern w:val="0"/>
          <w:szCs w:val="21"/>
        </w:rPr>
      </w:pPr>
      <w:r>
        <w:rPr>
          <w:rFonts w:hint="eastAsia" w:ascii="宋体" w:hAnsi="宋体"/>
          <w:szCs w:val="21"/>
        </w:rPr>
        <w:t>博士</w:t>
      </w:r>
      <w:r>
        <w:rPr>
          <w:rFonts w:ascii="宋体" w:hAnsi="宋体"/>
          <w:szCs w:val="21"/>
        </w:rPr>
        <w:t>研究生在学习期间，须在导师指导下，完成一项国家科研基金申请书的撰写，培养博士生申请科研项目的能力，导师同意通过后，记</w:t>
      </w:r>
      <w:r>
        <w:rPr>
          <w:szCs w:val="21"/>
        </w:rPr>
        <w:t>1</w:t>
      </w:r>
      <w:r>
        <w:rPr>
          <w:rFonts w:ascii="宋体" w:hAnsi="宋体"/>
          <w:szCs w:val="21"/>
        </w:rPr>
        <w:t>学分。</w:t>
      </w:r>
    </w:p>
    <w:p>
      <w:pPr>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b/>
          <w:bCs/>
          <w:szCs w:val="21"/>
        </w:rPr>
      </w:pPr>
      <w:r>
        <w:rPr>
          <w:b/>
          <w:bCs/>
          <w:szCs w:val="21"/>
        </w:rPr>
        <w:t>4</w:t>
      </w:r>
      <w:r>
        <w:rPr>
          <w:rFonts w:hint="eastAsia"/>
          <w:b/>
          <w:bCs/>
          <w:szCs w:val="21"/>
        </w:rPr>
        <w:t>．</w:t>
      </w:r>
      <w:r>
        <w:rPr>
          <w:b/>
          <w:bCs/>
          <w:szCs w:val="21"/>
        </w:rPr>
        <w:t>国际化交流</w:t>
      </w:r>
    </w:p>
    <w:p>
      <w:pPr>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宋体" w:hAnsi="宋体"/>
          <w:szCs w:val="21"/>
        </w:rPr>
      </w:pPr>
      <w:r>
        <w:rPr>
          <w:rFonts w:ascii="宋体" w:hAnsi="宋体"/>
          <w:kern w:val="0"/>
          <w:szCs w:val="21"/>
        </w:rPr>
        <w:t>立足于培养</w:t>
      </w:r>
      <w:r>
        <w:rPr>
          <w:rFonts w:hint="eastAsia" w:ascii="宋体" w:hAnsi="宋体"/>
          <w:kern w:val="0"/>
          <w:szCs w:val="21"/>
        </w:rPr>
        <w:t>博士</w:t>
      </w:r>
      <w:r>
        <w:rPr>
          <w:rFonts w:ascii="宋体" w:hAnsi="宋体"/>
          <w:kern w:val="0"/>
          <w:szCs w:val="21"/>
        </w:rPr>
        <w:t>研究生的全球化视野，</w:t>
      </w:r>
      <w:r>
        <w:rPr>
          <w:rFonts w:ascii="宋体" w:hAnsi="宋体"/>
          <w:szCs w:val="21"/>
        </w:rPr>
        <w:t>研究生在校期间，达到以下条件之一记1学分：</w:t>
      </w:r>
    </w:p>
    <w:p>
      <w:pPr>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宋体" w:hAnsi="宋体"/>
          <w:szCs w:val="21"/>
        </w:rPr>
      </w:pPr>
      <w:r>
        <w:rPr>
          <w:szCs w:val="21"/>
        </w:rPr>
        <w:t>1</w:t>
      </w:r>
      <w:r>
        <w:rPr>
          <w:rFonts w:ascii="宋体" w:hAnsi="宋体"/>
          <w:szCs w:val="21"/>
        </w:rPr>
        <w:t>）</w:t>
      </w:r>
      <w:r>
        <w:rPr>
          <w:rFonts w:hint="eastAsia"/>
          <w:szCs w:val="21"/>
        </w:rPr>
        <w:t>CSC</w:t>
      </w:r>
      <w:r>
        <w:rPr>
          <w:rFonts w:hint="eastAsia" w:ascii="宋体" w:hAnsi="宋体"/>
          <w:szCs w:val="21"/>
        </w:rPr>
        <w:t>项目；</w:t>
      </w:r>
    </w:p>
    <w:p>
      <w:pPr>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宋体" w:hAnsi="宋体"/>
          <w:szCs w:val="21"/>
        </w:rPr>
      </w:pPr>
      <w:r>
        <w:rPr>
          <w:rFonts w:hint="eastAsia"/>
          <w:szCs w:val="21"/>
        </w:rPr>
        <w:t>2</w:t>
      </w:r>
      <w:r>
        <w:rPr>
          <w:rFonts w:ascii="宋体" w:hAnsi="宋体"/>
          <w:szCs w:val="21"/>
        </w:rPr>
        <w:t>）</w:t>
      </w:r>
      <w:r>
        <w:rPr>
          <w:rFonts w:hint="eastAsia" w:ascii="宋体" w:hAnsi="宋体"/>
          <w:szCs w:val="21"/>
        </w:rPr>
        <w:t>与国（境）外</w:t>
      </w:r>
      <w:r>
        <w:rPr>
          <w:rFonts w:ascii="宋体" w:hAnsi="宋体"/>
          <w:szCs w:val="21"/>
        </w:rPr>
        <w:t>联合培养；</w:t>
      </w:r>
    </w:p>
    <w:p>
      <w:pPr>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宋体" w:hAnsi="宋体"/>
          <w:szCs w:val="21"/>
        </w:rPr>
      </w:pPr>
      <w:r>
        <w:rPr>
          <w:rFonts w:hint="eastAsia"/>
          <w:szCs w:val="21"/>
        </w:rPr>
        <w:t>3</w:t>
      </w:r>
      <w:r>
        <w:rPr>
          <w:rFonts w:ascii="宋体" w:hAnsi="宋体"/>
          <w:szCs w:val="21"/>
        </w:rPr>
        <w:t>）</w:t>
      </w:r>
      <w:r>
        <w:rPr>
          <w:rFonts w:hint="eastAsia" w:ascii="宋体" w:hAnsi="宋体"/>
          <w:szCs w:val="21"/>
        </w:rPr>
        <w:t>国（境）外</w:t>
      </w:r>
      <w:r>
        <w:rPr>
          <w:rFonts w:ascii="宋体" w:hAnsi="宋体"/>
          <w:szCs w:val="21"/>
        </w:rPr>
        <w:t>短期出</w:t>
      </w:r>
      <w:r>
        <w:rPr>
          <w:rFonts w:hint="eastAsia" w:ascii="宋体" w:hAnsi="宋体"/>
          <w:szCs w:val="21"/>
        </w:rPr>
        <w:t>访、国际组织实习（三个月以上）；</w:t>
      </w:r>
    </w:p>
    <w:p>
      <w:pPr>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宋体" w:hAnsi="宋体"/>
          <w:szCs w:val="21"/>
        </w:rPr>
      </w:pPr>
      <w:r>
        <w:rPr>
          <w:rFonts w:hint="eastAsia"/>
          <w:szCs w:val="21"/>
        </w:rPr>
        <w:t>4</w:t>
      </w:r>
      <w:r>
        <w:rPr>
          <w:rFonts w:ascii="宋体" w:hAnsi="宋体"/>
          <w:szCs w:val="21"/>
        </w:rPr>
        <w:t>）国内外举办的</w:t>
      </w:r>
      <w:r>
        <w:rPr>
          <w:rFonts w:hint="eastAsia" w:ascii="宋体" w:hAnsi="宋体"/>
          <w:szCs w:val="21"/>
        </w:rPr>
        <w:t>高水平</w:t>
      </w:r>
      <w:r>
        <w:rPr>
          <w:rFonts w:ascii="宋体" w:hAnsi="宋体"/>
          <w:szCs w:val="21"/>
        </w:rPr>
        <w:t>国际</w:t>
      </w:r>
      <w:r>
        <w:rPr>
          <w:rFonts w:hint="eastAsia" w:ascii="宋体" w:hAnsi="宋体"/>
          <w:szCs w:val="21"/>
        </w:rPr>
        <w:t>学术</w:t>
      </w:r>
      <w:r>
        <w:rPr>
          <w:rFonts w:ascii="宋体" w:hAnsi="宋体"/>
          <w:szCs w:val="21"/>
        </w:rPr>
        <w:t>会议（参加、投稿被书面收录、壁报、小组发言、大会发言，均被认可，但需提供详细的书面证明邀请信、参会照片、收录节选、壁报展示及照片、小组发言或大会发言照片等）；</w:t>
      </w:r>
    </w:p>
    <w:p>
      <w:pPr>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宋体" w:hAnsi="宋体"/>
          <w:szCs w:val="21"/>
        </w:rPr>
      </w:pPr>
      <w:r>
        <w:rPr>
          <w:rFonts w:hint="eastAsia"/>
          <w:szCs w:val="21"/>
        </w:rPr>
        <w:t>5</w:t>
      </w:r>
      <w:r>
        <w:rPr>
          <w:szCs w:val="21"/>
        </w:rPr>
        <w:t>）</w:t>
      </w:r>
      <w:r>
        <w:rPr>
          <w:rFonts w:hint="eastAsia" w:ascii="宋体" w:hAnsi="宋体"/>
          <w:szCs w:val="21"/>
        </w:rPr>
        <w:t>选修国外高校全英文在线课程（</w:t>
      </w:r>
      <w:r>
        <w:rPr>
          <w:rFonts w:hint="eastAsia"/>
          <w:szCs w:val="21"/>
        </w:rPr>
        <w:t>MOOC</w:t>
      </w:r>
      <w:r>
        <w:rPr>
          <w:rFonts w:hint="eastAsia" w:ascii="宋体" w:hAnsi="宋体"/>
          <w:szCs w:val="21"/>
        </w:rPr>
        <w:t>），并取得合格证书；</w:t>
      </w:r>
    </w:p>
    <w:p>
      <w:pPr>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宋体" w:hAnsi="宋体"/>
          <w:szCs w:val="21"/>
        </w:rPr>
      </w:pPr>
      <w:r>
        <w:rPr>
          <w:rFonts w:hint="eastAsia"/>
          <w:szCs w:val="21"/>
        </w:rPr>
        <w:t>6</w:t>
      </w:r>
      <w:r>
        <w:rPr>
          <w:rFonts w:ascii="宋体" w:hAnsi="宋体"/>
          <w:szCs w:val="21"/>
        </w:rPr>
        <w:t>）</w:t>
      </w:r>
      <w:r>
        <w:rPr>
          <w:rFonts w:hint="eastAsia" w:ascii="宋体" w:hAnsi="宋体"/>
          <w:szCs w:val="21"/>
        </w:rPr>
        <w:t>参加国际专业竞赛并获奖。</w:t>
      </w:r>
    </w:p>
    <w:p>
      <w:pPr>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b/>
          <w:bCs/>
          <w:szCs w:val="21"/>
        </w:rPr>
      </w:pPr>
      <w:r>
        <w:rPr>
          <w:b/>
          <w:bCs/>
          <w:szCs w:val="21"/>
        </w:rPr>
        <w:t>5</w:t>
      </w:r>
      <w:r>
        <w:rPr>
          <w:rFonts w:hint="eastAsia"/>
          <w:b/>
          <w:bCs/>
          <w:szCs w:val="21"/>
        </w:rPr>
        <w:t>．文献</w:t>
      </w:r>
      <w:r>
        <w:rPr>
          <w:b/>
          <w:bCs/>
          <w:szCs w:val="21"/>
        </w:rPr>
        <w:t>阅读</w:t>
      </w:r>
    </w:p>
    <w:p>
      <w:pPr>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szCs w:val="21"/>
        </w:rPr>
      </w:pPr>
      <w:r>
        <w:rPr>
          <w:rFonts w:hint="eastAsia"/>
          <w:szCs w:val="21"/>
        </w:rPr>
        <w:t>博士研究生</w:t>
      </w:r>
      <w:r>
        <w:rPr>
          <w:szCs w:val="21"/>
        </w:rPr>
        <w:t>在第</w:t>
      </w:r>
      <w:r>
        <w:rPr>
          <w:rFonts w:hint="eastAsia"/>
          <w:szCs w:val="21"/>
        </w:rPr>
        <w:t>三</w:t>
      </w:r>
      <w:r>
        <w:rPr>
          <w:szCs w:val="21"/>
        </w:rPr>
        <w:t>学</w:t>
      </w:r>
      <w:r>
        <w:rPr>
          <w:rFonts w:hint="eastAsia"/>
          <w:szCs w:val="21"/>
        </w:rPr>
        <w:t>期</w:t>
      </w:r>
      <w:r>
        <w:rPr>
          <w:szCs w:val="21"/>
        </w:rPr>
        <w:t>完成</w:t>
      </w:r>
      <w:r>
        <w:rPr>
          <w:rFonts w:hint="eastAsia"/>
          <w:szCs w:val="21"/>
        </w:rPr>
        <w:t>文献阅读</w:t>
      </w:r>
      <w:r>
        <w:rPr>
          <w:szCs w:val="21"/>
        </w:rPr>
        <w:t>考核</w:t>
      </w:r>
      <w:r>
        <w:rPr>
          <w:rFonts w:hint="eastAsia"/>
          <w:szCs w:val="21"/>
        </w:rPr>
        <w:t>。</w:t>
      </w:r>
    </w:p>
    <w:p>
      <w:pPr>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szCs w:val="21"/>
        </w:rPr>
      </w:pPr>
      <w:r>
        <w:rPr>
          <w:rFonts w:hint="eastAsia"/>
          <w:szCs w:val="21"/>
        </w:rPr>
        <w:t>文献阅读是引领研究生特别是博士生夯实学术根基、迅速进入学科专业研究领域和培养研究生科研素养的重要手段，是课程知识扩展和补充的重要方式。学生入学后</w:t>
      </w:r>
      <w:r>
        <w:rPr>
          <w:szCs w:val="21"/>
        </w:rPr>
        <w:t>结合学科发展和论文研究方向，在导师指导下阅读国内外文献资料。</w:t>
      </w:r>
      <w:r>
        <w:rPr>
          <w:rFonts w:hint="eastAsia"/>
          <w:szCs w:val="21"/>
        </w:rPr>
        <w:t>考核形式采用提交文献综述形式（要求字数不少于</w:t>
      </w:r>
      <w:r>
        <w:rPr>
          <w:szCs w:val="21"/>
        </w:rPr>
        <w:t>5000</w:t>
      </w:r>
      <w:r>
        <w:rPr>
          <w:rFonts w:hint="eastAsia"/>
          <w:szCs w:val="21"/>
        </w:rPr>
        <w:t>字，参考文献应包含中文文献和外文文献，综述文献不少于</w:t>
      </w:r>
      <w:r>
        <w:rPr>
          <w:szCs w:val="21"/>
        </w:rPr>
        <w:t>60</w:t>
      </w:r>
      <w:r>
        <w:rPr>
          <w:rFonts w:hint="eastAsia"/>
          <w:szCs w:val="21"/>
        </w:rPr>
        <w:t>篇），导师签字确认后提交，学院组织评审专家对综述报告的选题、格式、内容以及书面表达能力等进行评审，审核通过者，记</w:t>
      </w:r>
      <w:r>
        <w:rPr>
          <w:szCs w:val="21"/>
        </w:rPr>
        <w:t>2</w:t>
      </w:r>
      <w:r>
        <w:rPr>
          <w:rFonts w:hint="eastAsia"/>
          <w:szCs w:val="21"/>
        </w:rPr>
        <w:t>学分。审核未通过者，按照专家审核意见完成修改后提交学院进行二次评审。经两次审核都未通过者，不记入学分。考核工作由医学部各学院统一安排。</w:t>
      </w:r>
    </w:p>
    <w:p>
      <w:pPr>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szCs w:val="21"/>
        </w:rPr>
      </w:pPr>
      <w:r>
        <w:rPr>
          <w:rFonts w:hint="eastAsia"/>
          <w:szCs w:val="21"/>
        </w:rPr>
        <w:t>文献阅读考核需在博士生中期考核前完成考核。</w:t>
      </w:r>
    </w:p>
    <w:p>
      <w:pPr>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b/>
          <w:bCs/>
          <w:szCs w:val="21"/>
        </w:rPr>
      </w:pPr>
      <w:r>
        <w:rPr>
          <w:b/>
          <w:bCs/>
          <w:szCs w:val="21"/>
        </w:rPr>
        <w:t>6</w:t>
      </w:r>
      <w:r>
        <w:rPr>
          <w:rFonts w:hint="eastAsia"/>
          <w:b/>
          <w:bCs/>
          <w:szCs w:val="21"/>
        </w:rPr>
        <w:t>．</w:t>
      </w:r>
      <w:r>
        <w:rPr>
          <w:b/>
          <w:bCs/>
          <w:szCs w:val="21"/>
        </w:rPr>
        <w:t>开题报告</w:t>
      </w:r>
    </w:p>
    <w:p>
      <w:pPr>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宋体" w:hAnsi="宋体"/>
          <w:szCs w:val="21"/>
        </w:rPr>
      </w:pPr>
      <w:r>
        <w:rPr>
          <w:rFonts w:hint="eastAsia" w:ascii="宋体" w:hAnsi="宋体"/>
          <w:szCs w:val="21"/>
        </w:rPr>
        <w:t>开题报告一般应在第三学期前完成，具体时间由导师或院系决定，并上报学院（系）教学管理部门备案。从开题报告通过至申请论文答辩的时间一般不少于一年。开题报告由医学部各学院（系）组织，应以学术活动的形式在学院（系）内公开进行，并邀请相关教师和研究生参加。各学院（系）邀请本学院督导列席旁听并打分。开题报告评审专家小组由3-5名校内外博士生导师组成（导师及导师团队成员为主体）。考查内容包括：文献综述、选题意义与科学依据、研究基础、研究内容与计划、工作难点及特色、预期成果以及可能产生的创新点、论文选题与学科的匹配度等。经评审通过的开题报告，须以书面形式交医学部人才培养处审核备案。</w:t>
      </w:r>
    </w:p>
    <w:p>
      <w:pPr>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b/>
          <w:bCs/>
          <w:szCs w:val="21"/>
        </w:rPr>
      </w:pPr>
      <w:r>
        <w:rPr>
          <w:b/>
          <w:bCs/>
          <w:szCs w:val="21"/>
        </w:rPr>
        <w:t>7</w:t>
      </w:r>
      <w:r>
        <w:rPr>
          <w:rFonts w:hint="eastAsia"/>
          <w:b/>
          <w:bCs/>
          <w:szCs w:val="21"/>
        </w:rPr>
        <w:t>．</w:t>
      </w:r>
      <w:r>
        <w:rPr>
          <w:b/>
          <w:bCs/>
          <w:szCs w:val="21"/>
        </w:rPr>
        <w:t>中期考核</w:t>
      </w:r>
    </w:p>
    <w:p>
      <w:pPr>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szCs w:val="21"/>
        </w:rPr>
      </w:pPr>
      <w:r>
        <w:rPr>
          <w:rFonts w:hint="eastAsia"/>
          <w:szCs w:val="21"/>
        </w:rPr>
        <w:t>中期考核一般安排在第四学期（贯通培养研究生转为博士生培养后可在第三学期，以直攻博方式进入贯通式培养体系的学生，自第三学年起至第四学年末完成中期考核）进行。中期考核由院系组织，应以学术活动的形式公开进行，考核小组由5-7名本学科或相关学科博士生导师组成。中期考核内容包括：学科基础综合考试（含学科基础文献集阅读）、业务表现与论文工作进展、论文选题与学科的匹配度、综合能力等方面。研究生提交由导师签字的课程成绩、课题研究进展报告等书面材料后，方可参加中期考核。中期考核所有评审材料，须在医学部人才培养处审核备案。</w:t>
      </w:r>
    </w:p>
    <w:p>
      <w:pPr>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szCs w:val="21"/>
        </w:rPr>
      </w:pPr>
      <w:r>
        <w:rPr>
          <w:rFonts w:hint="eastAsia"/>
          <w:szCs w:val="21"/>
        </w:rPr>
        <w:t>博士研究生应按时参加中期考核，如有特殊情况需延期参加，须本人申请并获得批准后参加补考核，具体时间由医学部人才培养处确定。</w:t>
      </w:r>
    </w:p>
    <w:p>
      <w:pPr>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szCs w:val="21"/>
        </w:rPr>
      </w:pPr>
      <w:r>
        <w:rPr>
          <w:szCs w:val="21"/>
        </w:rPr>
        <w:t>中期考核具体要求参照《西安交通大学关于博士研究生中期考核的若干规定》（西交研〔2014〕25号）执行。</w:t>
      </w:r>
    </w:p>
    <w:p>
      <w:pPr>
        <w:pageBreakBefore w:val="0"/>
        <w:widowControl w:val="0"/>
        <w:tabs>
          <w:tab w:val="left" w:pos="2940"/>
        </w:tabs>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szCs w:val="21"/>
        </w:rPr>
      </w:pPr>
      <w:r>
        <w:rPr>
          <w:rFonts w:hint="eastAsia"/>
          <w:szCs w:val="21"/>
        </w:rPr>
        <w:t>研究生的开题报告和中期报告中应包含实验安全风险评估的内容。</w:t>
      </w:r>
    </w:p>
    <w:p>
      <w:pPr>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b/>
          <w:bCs/>
          <w:szCs w:val="21"/>
        </w:rPr>
      </w:pPr>
      <w:r>
        <w:rPr>
          <w:b/>
          <w:bCs/>
          <w:szCs w:val="21"/>
        </w:rPr>
        <w:t>8</w:t>
      </w:r>
      <w:r>
        <w:rPr>
          <w:rFonts w:hint="eastAsia"/>
          <w:b/>
          <w:bCs/>
          <w:szCs w:val="21"/>
        </w:rPr>
        <w:t>．</w:t>
      </w:r>
      <w:r>
        <w:rPr>
          <w:b/>
          <w:bCs/>
          <w:szCs w:val="21"/>
        </w:rPr>
        <w:t>最终学术报告（预答辩）</w:t>
      </w:r>
    </w:p>
    <w:p>
      <w:pPr>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宋体" w:hAnsi="宋体"/>
          <w:szCs w:val="21"/>
        </w:rPr>
      </w:pPr>
      <w:r>
        <w:rPr>
          <w:rFonts w:hint="eastAsia" w:ascii="宋体" w:hAnsi="宋体"/>
          <w:szCs w:val="21"/>
        </w:rPr>
        <w:t>博士研究生完成学位论文后，须在医学部或医学部各院（系）范围内进行公开预答辩，报告自己的研究成果。预答辩专家组由5名本学科或相关学科专家组成，其中至少3人为博士生导师。各学院（系）邀请本学院督导或相关学科专家列席旁听。在预答辩中，须严格审查论文选题的前沿性、理论及现实意义，学位论文是否有独立见解，学位论文的工作量，研究工作的系统性、完整性，论文选题与学科的匹配度等。</w:t>
      </w:r>
    </w:p>
    <w:p>
      <w:pPr>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宋体" w:hAnsi="宋体"/>
          <w:szCs w:val="21"/>
        </w:rPr>
      </w:pPr>
      <w:r>
        <w:rPr>
          <w:rFonts w:hint="eastAsia" w:ascii="宋体" w:hAnsi="宋体"/>
          <w:szCs w:val="21"/>
        </w:rPr>
        <w:t>对预答辩中提出的问题，博士研究生应认真修改与补充，填写修改说明表，经导师签字同意并报预答辩专家组组长签字同意后，方可进入论文评阅、答辩环节。对于未获得通过的学位论文，博士研究生应修改后重新进行预答辩。</w:t>
      </w:r>
    </w:p>
    <w:p>
      <w:pPr>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宋体" w:hAnsi="宋体"/>
          <w:szCs w:val="21"/>
        </w:rPr>
      </w:pPr>
      <w:r>
        <w:rPr>
          <w:rFonts w:hint="eastAsia" w:ascii="宋体" w:hAnsi="宋体"/>
          <w:szCs w:val="21"/>
        </w:rPr>
        <w:t>对于未获得通过和</w:t>
      </w:r>
      <w:r>
        <w:rPr>
          <w:rFonts w:ascii="宋体" w:hAnsi="宋体"/>
          <w:szCs w:val="21"/>
        </w:rPr>
        <w:t>问题较多的学位论文要经过研究生修改后重新组织预答辩。</w:t>
      </w:r>
    </w:p>
    <w:p>
      <w:pPr>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rFonts w:ascii="宋体" w:hAnsi="宋体"/>
          <w:szCs w:val="21"/>
        </w:rPr>
      </w:pPr>
      <w:r>
        <w:rPr>
          <w:rFonts w:ascii="宋体" w:hAnsi="宋体"/>
          <w:szCs w:val="21"/>
        </w:rPr>
        <w:t>预答辩具体参照《西安交通大学学位授予工作暂行办法》（西交研〔2003〕14号）执行。</w:t>
      </w:r>
    </w:p>
    <w:p>
      <w:pPr>
        <w:pageBreakBefore w:val="0"/>
        <w:widowControl w:val="0"/>
        <w:numPr>
          <w:ilvl w:val="0"/>
          <w:numId w:val="3"/>
        </w:numPr>
        <w:tabs>
          <w:tab w:val="left" w:pos="2940"/>
        </w:tabs>
        <w:kinsoku/>
        <w:wordWrap/>
        <w:overflowPunct/>
        <w:topLinePunct w:val="0"/>
        <w:autoSpaceDE/>
        <w:autoSpaceDN/>
        <w:bidi w:val="0"/>
        <w:adjustRightInd w:val="0"/>
        <w:snapToGrid w:val="0"/>
        <w:spacing w:before="95" w:beforeLines="30" w:after="95" w:afterLines="30" w:line="300" w:lineRule="auto"/>
        <w:ind w:firstLine="422" w:firstLineChars="200"/>
        <w:textAlignment w:val="auto"/>
        <w:rPr>
          <w:rFonts w:hint="eastAsia"/>
          <w:b/>
          <w:bCs/>
          <w:szCs w:val="21"/>
        </w:rPr>
      </w:pPr>
      <w:r>
        <w:rPr>
          <w:rFonts w:hint="eastAsia"/>
          <w:b/>
          <w:bCs/>
          <w:szCs w:val="21"/>
          <w:lang w:val="en-US" w:eastAsia="zh-CN"/>
        </w:rPr>
        <w:t xml:space="preserve"> </w:t>
      </w:r>
      <w:r>
        <w:rPr>
          <w:rFonts w:hint="eastAsia"/>
          <w:b/>
          <w:bCs/>
          <w:szCs w:val="21"/>
        </w:rPr>
        <w:t>体育、美育、劳动教育</w:t>
      </w:r>
    </w:p>
    <w:p>
      <w:pPr>
        <w:pStyle w:val="11"/>
        <w:pageBreakBefore w:val="0"/>
        <w:widowControl w:val="0"/>
        <w:kinsoku/>
        <w:wordWrap/>
        <w:overflowPunct/>
        <w:topLinePunct w:val="0"/>
        <w:autoSpaceDE/>
        <w:autoSpaceDN/>
        <w:bidi w:val="0"/>
        <w:spacing w:before="95" w:beforeLines="30" w:after="95" w:afterLines="30" w:line="300" w:lineRule="auto"/>
        <w:textAlignment w:val="auto"/>
        <w:rPr>
          <w:rFonts w:hint="eastAsia"/>
          <w:sz w:val="21"/>
          <w:szCs w:val="21"/>
        </w:rPr>
      </w:pPr>
      <w:r>
        <w:rPr>
          <w:rFonts w:hint="eastAsia"/>
          <w:sz w:val="21"/>
          <w:szCs w:val="21"/>
        </w:rPr>
        <w:t>研究生依据当年的体育、美育、劳动教育研修指南，结合个人兴趣爱好和培养计划安排，制定个人体育、美育、劳动教育环节研修计划并开展研修，由体育、美育、劳动教育牵头单位对环节是否“通过”给予认定。</w:t>
      </w:r>
    </w:p>
    <w:p>
      <w:pPr>
        <w:pageBreakBefore w:val="0"/>
        <w:widowControl w:val="0"/>
        <w:kinsoku/>
        <w:wordWrap/>
        <w:overflowPunct/>
        <w:topLinePunct w:val="0"/>
        <w:autoSpaceDE/>
        <w:autoSpaceDN/>
        <w:bidi w:val="0"/>
        <w:spacing w:before="95" w:beforeLines="30" w:after="95" w:afterLines="30" w:line="300" w:lineRule="auto"/>
        <w:ind w:firstLine="422" w:firstLineChars="200"/>
        <w:textAlignment w:val="auto"/>
        <w:rPr>
          <w:b/>
          <w:bCs/>
          <w:szCs w:val="21"/>
        </w:rPr>
      </w:pPr>
      <w:r>
        <w:rPr>
          <w:rFonts w:hint="eastAsia"/>
          <w:b/>
          <w:bCs/>
          <w:szCs w:val="21"/>
        </w:rPr>
        <w:t>1</w:t>
      </w:r>
      <w:r>
        <w:rPr>
          <w:b/>
          <w:bCs/>
          <w:szCs w:val="21"/>
        </w:rPr>
        <w:t>0</w:t>
      </w:r>
      <w:r>
        <w:rPr>
          <w:rFonts w:hint="eastAsia"/>
          <w:b/>
          <w:bCs/>
          <w:szCs w:val="21"/>
        </w:rPr>
        <w:t>．</w:t>
      </w:r>
      <w:r>
        <w:rPr>
          <w:b/>
          <w:bCs/>
          <w:szCs w:val="21"/>
        </w:rPr>
        <w:t>学术论文</w:t>
      </w:r>
    </w:p>
    <w:p>
      <w:pPr>
        <w:pageBreakBefore w:val="0"/>
        <w:widowControl w:val="0"/>
        <w:kinsoku/>
        <w:wordWrap/>
        <w:overflowPunct/>
        <w:topLinePunct w:val="0"/>
        <w:autoSpaceDE/>
        <w:autoSpaceDN/>
        <w:bidi w:val="0"/>
        <w:adjustRightInd w:val="0"/>
        <w:snapToGrid w:val="0"/>
        <w:spacing w:before="95" w:beforeLines="30" w:after="95" w:afterLines="30" w:line="300" w:lineRule="auto"/>
        <w:ind w:firstLine="420" w:firstLineChars="200"/>
        <w:textAlignment w:val="auto"/>
        <w:rPr>
          <w:bCs/>
          <w:szCs w:val="21"/>
        </w:rPr>
      </w:pPr>
      <w:r>
        <w:rPr>
          <w:bCs/>
          <w:szCs w:val="21"/>
        </w:rPr>
        <w:t>研究生在导师指导下，进行严格的科研训练，结合临床工作完成一篇学位论文。应选择临床医疗实践中出现的理论或技术问题为研究课题，利用已有的研究手段，进行临床应用或临床应用基础的研究，学会临床科学研究方法，使其具有从事临床科学研究的能力。科研工作的脱产时间（含论文撰写）不得超过半年。</w:t>
      </w:r>
    </w:p>
    <w:p>
      <w:pPr>
        <w:pageBreakBefore w:val="0"/>
        <w:widowControl w:val="0"/>
        <w:kinsoku/>
        <w:wordWrap/>
        <w:overflowPunct/>
        <w:topLinePunct w:val="0"/>
        <w:autoSpaceDE/>
        <w:autoSpaceDN/>
        <w:bidi w:val="0"/>
        <w:spacing w:before="95" w:beforeLines="30" w:after="95" w:afterLines="30" w:line="300" w:lineRule="auto"/>
        <w:ind w:firstLine="420" w:firstLineChars="200"/>
        <w:textAlignment w:val="auto"/>
        <w:rPr>
          <w:bCs/>
          <w:szCs w:val="21"/>
        </w:rPr>
      </w:pPr>
      <w:r>
        <w:rPr>
          <w:rFonts w:hint="eastAsia"/>
          <w:bCs/>
          <w:szCs w:val="21"/>
        </w:rPr>
        <w:t>口腔</w:t>
      </w:r>
      <w:r>
        <w:rPr>
          <w:bCs/>
          <w:szCs w:val="21"/>
        </w:rPr>
        <w:t>医学博士专业学位论文的要求：（1）论文课题紧密结合临床实际；（2）研究结果对临床工作具有一定的应用价值；（3）论文表明研究生具有运用所学知识,解决临床实际问题和从事临床科学研究的能力。论文答辩</w:t>
      </w:r>
      <w:r>
        <w:rPr>
          <w:rFonts w:hint="eastAsia"/>
          <w:bCs/>
          <w:szCs w:val="21"/>
        </w:rPr>
        <w:t>具体参照</w:t>
      </w:r>
      <w:r>
        <w:rPr>
          <w:bCs/>
          <w:szCs w:val="21"/>
        </w:rPr>
        <w:t>《西安交通大学学位授予工作暂行办法》（西交研〔2003〕14号）执行。</w:t>
      </w:r>
    </w:p>
    <w:p>
      <w:pPr>
        <w:keepNext/>
        <w:keepLines/>
        <w:pageBreakBefore w:val="0"/>
        <w:widowControl w:val="0"/>
        <w:kinsoku/>
        <w:wordWrap/>
        <w:overflowPunct/>
        <w:topLinePunct w:val="0"/>
        <w:autoSpaceDE/>
        <w:autoSpaceDN/>
        <w:bidi w:val="0"/>
        <w:spacing w:before="95" w:beforeLines="30" w:after="95" w:afterLines="30" w:line="300" w:lineRule="auto"/>
        <w:jc w:val="center"/>
        <w:textAlignment w:val="auto"/>
        <w:outlineLvl w:val="1"/>
        <w:rPr>
          <w:rFonts w:hAnsi="Arial" w:eastAsia="黑体"/>
          <w:bCs/>
          <w:sz w:val="28"/>
          <w:szCs w:val="28"/>
        </w:rPr>
      </w:pPr>
      <w:bookmarkStart w:id="581" w:name="_Toc110427521"/>
      <w:r>
        <w:rPr>
          <w:rFonts w:hAnsi="Arial" w:eastAsia="黑体"/>
          <w:bCs/>
          <w:sz w:val="28"/>
          <w:szCs w:val="28"/>
        </w:rPr>
        <w:t>（</w:t>
      </w:r>
      <w:r>
        <w:rPr>
          <w:rFonts w:hint="eastAsia" w:hAnsi="Arial" w:eastAsia="黑体"/>
          <w:bCs/>
          <w:sz w:val="28"/>
          <w:szCs w:val="28"/>
        </w:rPr>
        <w:t>六</w:t>
      </w:r>
      <w:r>
        <w:rPr>
          <w:rFonts w:hAnsi="Arial" w:eastAsia="黑体"/>
          <w:bCs/>
          <w:sz w:val="28"/>
          <w:szCs w:val="28"/>
        </w:rPr>
        <w:t>）</w:t>
      </w:r>
      <w:r>
        <w:rPr>
          <w:rFonts w:hint="eastAsia" w:hAnsi="Arial" w:eastAsia="黑体"/>
          <w:bCs/>
          <w:sz w:val="28"/>
          <w:szCs w:val="28"/>
        </w:rPr>
        <w:t>临床医学硕士</w:t>
      </w:r>
      <w:r>
        <w:rPr>
          <w:rFonts w:hint="eastAsia" w:hAnsi="Arial" w:eastAsia="黑体"/>
          <w:b/>
          <w:bCs w:val="0"/>
          <w:sz w:val="28"/>
          <w:szCs w:val="28"/>
        </w:rPr>
        <w:t>（1051）</w:t>
      </w:r>
      <w:r>
        <w:rPr>
          <w:rFonts w:hAnsi="Arial" w:eastAsia="黑体"/>
          <w:bCs/>
          <w:sz w:val="28"/>
          <w:szCs w:val="28"/>
        </w:rPr>
        <w:t>培养方案</w:t>
      </w:r>
      <w:bookmarkEnd w:id="581"/>
    </w:p>
    <w:p>
      <w:pPr>
        <w:keepNext w:val="0"/>
        <w:keepLines w:val="0"/>
        <w:pageBreakBefore w:val="0"/>
        <w:widowControl w:val="0"/>
        <w:kinsoku/>
        <w:wordWrap/>
        <w:overflowPunct/>
        <w:topLinePunct w:val="0"/>
        <w:autoSpaceDE/>
        <w:autoSpaceDN/>
        <w:bidi w:val="0"/>
        <w:adjustRightInd/>
        <w:snapToGrid/>
        <w:spacing w:before="95" w:beforeLines="30" w:after="95" w:afterLines="30" w:line="300" w:lineRule="auto"/>
        <w:textAlignment w:val="auto"/>
        <w:rPr>
          <w:rFonts w:ascii="黑体" w:hAnsi="黑体" w:eastAsia="黑体"/>
          <w:sz w:val="24"/>
          <w:szCs w:val="24"/>
        </w:rPr>
      </w:pPr>
      <w:r>
        <w:rPr>
          <w:rFonts w:ascii="黑体" w:hAnsi="黑体" w:eastAsia="黑体"/>
          <w:sz w:val="24"/>
          <w:szCs w:val="24"/>
        </w:rPr>
        <w:t>一、培养目标</w:t>
      </w:r>
    </w:p>
    <w:p>
      <w:pPr>
        <w:keepNext w:val="0"/>
        <w:keepLines w:val="0"/>
        <w:pageBreakBefore w:val="0"/>
        <w:widowControl w:val="0"/>
        <w:kinsoku/>
        <w:wordWrap/>
        <w:overflowPunct/>
        <w:topLinePunct w:val="0"/>
        <w:autoSpaceDE/>
        <w:autoSpaceDN/>
        <w:bidi w:val="0"/>
        <w:adjustRightInd/>
        <w:snapToGrid/>
        <w:spacing w:before="95" w:beforeLines="30" w:after="95" w:afterLines="30" w:line="300" w:lineRule="auto"/>
        <w:ind w:firstLine="420" w:firstLineChars="200"/>
        <w:textAlignment w:val="auto"/>
        <w:rPr>
          <w:szCs w:val="21"/>
        </w:rPr>
      </w:pPr>
      <w:r>
        <w:rPr>
          <w:rFonts w:hint="eastAsia" w:hAnsi="宋体"/>
          <w:szCs w:val="21"/>
        </w:rPr>
        <w:t>1</w:t>
      </w:r>
      <w:r>
        <w:rPr>
          <w:bCs/>
        </w:rPr>
        <w:t>．</w:t>
      </w:r>
      <w:r>
        <w:rPr>
          <w:rFonts w:hAnsi="宋体"/>
          <w:szCs w:val="21"/>
        </w:rPr>
        <w:t>拥护中国共产党的领导，拥护社会主义制度，热爱祖国，具有良好的医德医风，团结协作，身体健康，愿为我国现代化建设和临床医学事业而献身。</w:t>
      </w:r>
    </w:p>
    <w:p>
      <w:pPr>
        <w:keepNext w:val="0"/>
        <w:keepLines w:val="0"/>
        <w:pageBreakBefore w:val="0"/>
        <w:widowControl w:val="0"/>
        <w:kinsoku/>
        <w:wordWrap/>
        <w:overflowPunct/>
        <w:topLinePunct w:val="0"/>
        <w:autoSpaceDE/>
        <w:autoSpaceDN/>
        <w:bidi w:val="0"/>
        <w:adjustRightInd/>
        <w:snapToGrid/>
        <w:spacing w:before="95" w:beforeLines="30" w:after="95" w:afterLines="30" w:line="300" w:lineRule="auto"/>
        <w:ind w:firstLine="420" w:firstLineChars="200"/>
        <w:textAlignment w:val="auto"/>
        <w:rPr>
          <w:szCs w:val="21"/>
        </w:rPr>
      </w:pPr>
      <w:r>
        <w:rPr>
          <w:rFonts w:hint="eastAsia" w:hAnsi="宋体"/>
          <w:szCs w:val="21"/>
        </w:rPr>
        <w:t>2</w:t>
      </w:r>
      <w:r>
        <w:rPr>
          <w:bCs/>
        </w:rPr>
        <w:t>．</w:t>
      </w:r>
      <w:r>
        <w:rPr>
          <w:rFonts w:hAnsi="宋体"/>
          <w:szCs w:val="21"/>
        </w:rPr>
        <w:t>具有较强的临床分析和思维能力，能独立处理本学科领域内的常见病，能对下级医师进行业务指导，达到高年</w:t>
      </w:r>
      <w:r>
        <w:rPr>
          <w:rFonts w:hint="eastAsia" w:hAnsi="宋体"/>
          <w:szCs w:val="21"/>
        </w:rPr>
        <w:t>资</w:t>
      </w:r>
      <w:r>
        <w:rPr>
          <w:rFonts w:hAnsi="宋体"/>
          <w:szCs w:val="21"/>
        </w:rPr>
        <w:t>住院医师的临床工作水平。</w:t>
      </w:r>
    </w:p>
    <w:p>
      <w:pPr>
        <w:keepNext w:val="0"/>
        <w:keepLines w:val="0"/>
        <w:pageBreakBefore w:val="0"/>
        <w:widowControl w:val="0"/>
        <w:kinsoku/>
        <w:wordWrap/>
        <w:overflowPunct/>
        <w:topLinePunct w:val="0"/>
        <w:autoSpaceDE/>
        <w:autoSpaceDN/>
        <w:bidi w:val="0"/>
        <w:adjustRightInd/>
        <w:snapToGrid/>
        <w:spacing w:before="95" w:beforeLines="30" w:after="95" w:afterLines="30" w:line="300" w:lineRule="auto"/>
        <w:ind w:firstLine="420" w:firstLineChars="200"/>
        <w:textAlignment w:val="auto"/>
        <w:rPr>
          <w:szCs w:val="21"/>
        </w:rPr>
      </w:pPr>
      <w:r>
        <w:rPr>
          <w:rFonts w:hint="eastAsia" w:hAnsi="宋体"/>
          <w:szCs w:val="21"/>
        </w:rPr>
        <w:t>3</w:t>
      </w:r>
      <w:r>
        <w:rPr>
          <w:bCs/>
        </w:rPr>
        <w:t>．</w:t>
      </w:r>
      <w:r>
        <w:rPr>
          <w:rFonts w:hAnsi="宋体"/>
          <w:szCs w:val="21"/>
        </w:rPr>
        <w:t>掌握本学科坚实的基础理论和系统的专业知识。</w:t>
      </w:r>
    </w:p>
    <w:p>
      <w:pPr>
        <w:keepNext w:val="0"/>
        <w:keepLines w:val="0"/>
        <w:pageBreakBefore w:val="0"/>
        <w:widowControl w:val="0"/>
        <w:kinsoku/>
        <w:wordWrap/>
        <w:overflowPunct/>
        <w:topLinePunct w:val="0"/>
        <w:autoSpaceDE/>
        <w:autoSpaceDN/>
        <w:bidi w:val="0"/>
        <w:adjustRightInd/>
        <w:snapToGrid/>
        <w:spacing w:before="95" w:beforeLines="30" w:after="95" w:afterLines="30" w:line="300" w:lineRule="auto"/>
        <w:ind w:firstLine="420" w:firstLineChars="200"/>
        <w:textAlignment w:val="auto"/>
        <w:rPr>
          <w:rFonts w:hAnsi="宋体"/>
          <w:szCs w:val="21"/>
        </w:rPr>
      </w:pPr>
      <w:r>
        <w:rPr>
          <w:rFonts w:hint="eastAsia" w:hAnsi="宋体"/>
          <w:szCs w:val="21"/>
        </w:rPr>
        <w:t>4</w:t>
      </w:r>
      <w:r>
        <w:rPr>
          <w:rFonts w:hAnsi="宋体"/>
          <w:szCs w:val="21"/>
        </w:rPr>
        <w:t>．能结合临床实际，学习并掌握临床科学研究的基本方法，完成一篇学位论文并通过答辩。</w:t>
      </w:r>
    </w:p>
    <w:p>
      <w:pPr>
        <w:keepNext w:val="0"/>
        <w:keepLines w:val="0"/>
        <w:pageBreakBefore w:val="0"/>
        <w:widowControl w:val="0"/>
        <w:kinsoku/>
        <w:wordWrap/>
        <w:overflowPunct/>
        <w:topLinePunct w:val="0"/>
        <w:autoSpaceDE/>
        <w:autoSpaceDN/>
        <w:bidi w:val="0"/>
        <w:adjustRightInd/>
        <w:snapToGrid/>
        <w:spacing w:before="95" w:beforeLines="30" w:after="95" w:afterLines="30" w:line="300" w:lineRule="auto"/>
        <w:ind w:firstLine="420" w:firstLineChars="200"/>
        <w:textAlignment w:val="auto"/>
        <w:rPr>
          <w:rFonts w:hAnsi="宋体"/>
          <w:szCs w:val="21"/>
        </w:rPr>
      </w:pPr>
      <w:r>
        <w:rPr>
          <w:rFonts w:hint="eastAsia" w:hAnsi="宋体"/>
          <w:szCs w:val="21"/>
        </w:rPr>
        <w:t>5</w:t>
      </w:r>
      <w:r>
        <w:rPr>
          <w:bCs/>
        </w:rPr>
        <w:t>．</w:t>
      </w:r>
      <w:r>
        <w:rPr>
          <w:rFonts w:hAnsi="宋体"/>
          <w:szCs w:val="21"/>
        </w:rPr>
        <w:t>掌握一门外国语，具有较熟练阅读本专业外文资料的能力</w:t>
      </w:r>
      <w:r>
        <w:rPr>
          <w:rFonts w:hint="eastAsia" w:hAnsi="宋体"/>
          <w:szCs w:val="21"/>
        </w:rPr>
        <w:t>。</w:t>
      </w:r>
    </w:p>
    <w:p>
      <w:pPr>
        <w:keepNext w:val="0"/>
        <w:keepLines w:val="0"/>
        <w:pageBreakBefore w:val="0"/>
        <w:widowControl w:val="0"/>
        <w:kinsoku/>
        <w:wordWrap/>
        <w:overflowPunct/>
        <w:topLinePunct w:val="0"/>
        <w:autoSpaceDE/>
        <w:autoSpaceDN/>
        <w:bidi w:val="0"/>
        <w:adjustRightInd/>
        <w:snapToGrid/>
        <w:spacing w:before="95" w:beforeLines="30" w:after="95" w:afterLines="30" w:line="300" w:lineRule="auto"/>
        <w:textAlignment w:val="auto"/>
        <w:rPr>
          <w:rFonts w:ascii="黑体" w:hAnsi="黑体" w:eastAsia="黑体"/>
          <w:sz w:val="24"/>
          <w:szCs w:val="24"/>
        </w:rPr>
      </w:pPr>
      <w:r>
        <w:rPr>
          <w:rFonts w:ascii="黑体" w:hAnsi="黑体" w:eastAsia="黑体"/>
          <w:sz w:val="24"/>
          <w:szCs w:val="24"/>
        </w:rPr>
        <w:t>二、</w:t>
      </w:r>
      <w:r>
        <w:rPr>
          <w:rFonts w:hint="eastAsia" w:ascii="黑体" w:hAnsi="黑体" w:eastAsia="黑体"/>
          <w:sz w:val="24"/>
          <w:szCs w:val="24"/>
        </w:rPr>
        <w:t>专业</w:t>
      </w:r>
      <w:r>
        <w:rPr>
          <w:rFonts w:ascii="黑体" w:hAnsi="黑体" w:eastAsia="黑体"/>
          <w:sz w:val="24"/>
          <w:szCs w:val="24"/>
        </w:rPr>
        <w:t>方向</w:t>
      </w:r>
    </w:p>
    <w:tbl>
      <w:tblPr>
        <w:tblStyle w:val="37"/>
        <w:tblW w:w="0" w:type="auto"/>
        <w:tblInd w:w="0" w:type="dxa"/>
        <w:tblLayout w:type="autofit"/>
        <w:tblCellMar>
          <w:top w:w="0" w:type="dxa"/>
          <w:left w:w="108" w:type="dxa"/>
          <w:bottom w:w="0" w:type="dxa"/>
          <w:right w:w="108" w:type="dxa"/>
        </w:tblCellMar>
      </w:tblPr>
      <w:tblGrid>
        <w:gridCol w:w="4530"/>
        <w:gridCol w:w="4530"/>
      </w:tblGrid>
      <w:tr>
        <w:tblPrEx>
          <w:tblCellMar>
            <w:top w:w="0" w:type="dxa"/>
            <w:left w:w="108" w:type="dxa"/>
            <w:bottom w:w="0" w:type="dxa"/>
            <w:right w:w="108" w:type="dxa"/>
          </w:tblCellMar>
        </w:tblPrEx>
        <w:tc>
          <w:tcPr>
            <w:tcW w:w="4530" w:type="dxa"/>
          </w:tcPr>
          <w:p>
            <w:pPr>
              <w:spacing w:line="286" w:lineRule="auto"/>
              <w:ind w:firstLine="420" w:firstLineChars="200"/>
              <w:rPr>
                <w:szCs w:val="21"/>
              </w:rPr>
            </w:pPr>
            <w:r>
              <w:rPr>
                <w:szCs w:val="21"/>
              </w:rPr>
              <w:t>1</w:t>
            </w:r>
            <w:r>
              <w:rPr>
                <w:rFonts w:hint="eastAsia"/>
                <w:szCs w:val="21"/>
              </w:rPr>
              <w:t>．</w:t>
            </w:r>
            <w:r>
              <w:rPr>
                <w:szCs w:val="21"/>
              </w:rPr>
              <w:t>内科学</w:t>
            </w:r>
          </w:p>
        </w:tc>
        <w:tc>
          <w:tcPr>
            <w:tcW w:w="4530" w:type="dxa"/>
          </w:tcPr>
          <w:p>
            <w:pPr>
              <w:spacing w:line="286" w:lineRule="auto"/>
              <w:rPr>
                <w:szCs w:val="21"/>
              </w:rPr>
            </w:pPr>
            <w:r>
              <w:rPr>
                <w:szCs w:val="21"/>
              </w:rPr>
              <w:t>13</w:t>
            </w:r>
            <w:r>
              <w:rPr>
                <w:rFonts w:hint="eastAsia"/>
                <w:szCs w:val="21"/>
              </w:rPr>
              <w:t>．骨科学</w:t>
            </w:r>
            <w:r>
              <w:rPr>
                <w:szCs w:val="21"/>
              </w:rPr>
              <w:t xml:space="preserve"> </w:t>
            </w:r>
          </w:p>
        </w:tc>
      </w:tr>
      <w:tr>
        <w:tblPrEx>
          <w:tblCellMar>
            <w:top w:w="0" w:type="dxa"/>
            <w:left w:w="108" w:type="dxa"/>
            <w:bottom w:w="0" w:type="dxa"/>
            <w:right w:w="108" w:type="dxa"/>
          </w:tblCellMar>
        </w:tblPrEx>
        <w:tc>
          <w:tcPr>
            <w:tcW w:w="4530" w:type="dxa"/>
          </w:tcPr>
          <w:p>
            <w:pPr>
              <w:spacing w:line="286" w:lineRule="auto"/>
              <w:ind w:firstLine="420" w:firstLineChars="200"/>
              <w:rPr>
                <w:szCs w:val="21"/>
              </w:rPr>
            </w:pPr>
            <w:r>
              <w:rPr>
                <w:szCs w:val="21"/>
              </w:rPr>
              <w:t>2</w:t>
            </w:r>
            <w:r>
              <w:rPr>
                <w:rFonts w:hint="eastAsia"/>
                <w:szCs w:val="21"/>
              </w:rPr>
              <w:t>．</w:t>
            </w:r>
            <w:r>
              <w:rPr>
                <w:szCs w:val="21"/>
              </w:rPr>
              <w:t>儿科学</w:t>
            </w:r>
          </w:p>
        </w:tc>
        <w:tc>
          <w:tcPr>
            <w:tcW w:w="4530" w:type="dxa"/>
          </w:tcPr>
          <w:p>
            <w:pPr>
              <w:spacing w:line="286" w:lineRule="auto"/>
              <w:rPr>
                <w:szCs w:val="21"/>
              </w:rPr>
            </w:pPr>
            <w:r>
              <w:rPr>
                <w:szCs w:val="21"/>
              </w:rPr>
              <w:t>14</w:t>
            </w:r>
            <w:r>
              <w:rPr>
                <w:rFonts w:hint="eastAsia"/>
                <w:szCs w:val="21"/>
              </w:rPr>
              <w:t>．</w:t>
            </w:r>
            <w:r>
              <w:rPr>
                <w:szCs w:val="21"/>
              </w:rPr>
              <w:t>妇产科学</w:t>
            </w:r>
          </w:p>
        </w:tc>
      </w:tr>
      <w:tr>
        <w:tblPrEx>
          <w:tblCellMar>
            <w:top w:w="0" w:type="dxa"/>
            <w:left w:w="108" w:type="dxa"/>
            <w:bottom w:w="0" w:type="dxa"/>
            <w:right w:w="108" w:type="dxa"/>
          </w:tblCellMar>
        </w:tblPrEx>
        <w:tc>
          <w:tcPr>
            <w:tcW w:w="4530" w:type="dxa"/>
          </w:tcPr>
          <w:p>
            <w:pPr>
              <w:spacing w:line="286" w:lineRule="auto"/>
              <w:ind w:firstLine="420" w:firstLineChars="200"/>
              <w:rPr>
                <w:szCs w:val="21"/>
              </w:rPr>
            </w:pPr>
            <w:r>
              <w:rPr>
                <w:szCs w:val="21"/>
              </w:rPr>
              <w:t>3</w:t>
            </w:r>
            <w:r>
              <w:rPr>
                <w:rFonts w:hint="eastAsia"/>
                <w:szCs w:val="21"/>
              </w:rPr>
              <w:t>．</w:t>
            </w:r>
            <w:r>
              <w:rPr>
                <w:szCs w:val="21"/>
              </w:rPr>
              <w:t>老年医学</w:t>
            </w:r>
          </w:p>
        </w:tc>
        <w:tc>
          <w:tcPr>
            <w:tcW w:w="4530" w:type="dxa"/>
          </w:tcPr>
          <w:p>
            <w:pPr>
              <w:spacing w:line="286" w:lineRule="auto"/>
              <w:rPr>
                <w:szCs w:val="21"/>
              </w:rPr>
            </w:pPr>
            <w:r>
              <w:rPr>
                <w:szCs w:val="21"/>
              </w:rPr>
              <w:t>15</w:t>
            </w:r>
            <w:r>
              <w:rPr>
                <w:rFonts w:hint="eastAsia"/>
                <w:szCs w:val="21"/>
              </w:rPr>
              <w:t>．</w:t>
            </w:r>
            <w:r>
              <w:rPr>
                <w:szCs w:val="21"/>
              </w:rPr>
              <w:t>眼科学</w:t>
            </w:r>
          </w:p>
        </w:tc>
      </w:tr>
      <w:tr>
        <w:tblPrEx>
          <w:tblCellMar>
            <w:top w:w="0" w:type="dxa"/>
            <w:left w:w="108" w:type="dxa"/>
            <w:bottom w:w="0" w:type="dxa"/>
            <w:right w:w="108" w:type="dxa"/>
          </w:tblCellMar>
        </w:tblPrEx>
        <w:tc>
          <w:tcPr>
            <w:tcW w:w="4530" w:type="dxa"/>
          </w:tcPr>
          <w:p>
            <w:pPr>
              <w:spacing w:line="286" w:lineRule="auto"/>
              <w:ind w:firstLine="420" w:firstLineChars="200"/>
              <w:rPr>
                <w:szCs w:val="21"/>
              </w:rPr>
            </w:pPr>
            <w:r>
              <w:rPr>
                <w:szCs w:val="21"/>
              </w:rPr>
              <w:t>4</w:t>
            </w:r>
            <w:r>
              <w:rPr>
                <w:rFonts w:hint="eastAsia"/>
                <w:szCs w:val="21"/>
              </w:rPr>
              <w:t>．</w:t>
            </w:r>
            <w:r>
              <w:rPr>
                <w:szCs w:val="21"/>
              </w:rPr>
              <w:t>神经病学</w:t>
            </w:r>
          </w:p>
        </w:tc>
        <w:tc>
          <w:tcPr>
            <w:tcW w:w="4530" w:type="dxa"/>
          </w:tcPr>
          <w:p>
            <w:pPr>
              <w:spacing w:line="286" w:lineRule="auto"/>
              <w:rPr>
                <w:szCs w:val="21"/>
              </w:rPr>
            </w:pPr>
            <w:r>
              <w:rPr>
                <w:szCs w:val="21"/>
              </w:rPr>
              <w:t>16</w:t>
            </w:r>
            <w:r>
              <w:rPr>
                <w:rFonts w:hint="eastAsia"/>
                <w:szCs w:val="21"/>
              </w:rPr>
              <w:t>．</w:t>
            </w:r>
            <w:r>
              <w:rPr>
                <w:szCs w:val="21"/>
              </w:rPr>
              <w:t>耳鼻咽喉科学</w:t>
            </w:r>
          </w:p>
        </w:tc>
      </w:tr>
      <w:tr>
        <w:tblPrEx>
          <w:tblCellMar>
            <w:top w:w="0" w:type="dxa"/>
            <w:left w:w="108" w:type="dxa"/>
            <w:bottom w:w="0" w:type="dxa"/>
            <w:right w:w="108" w:type="dxa"/>
          </w:tblCellMar>
        </w:tblPrEx>
        <w:tc>
          <w:tcPr>
            <w:tcW w:w="4530" w:type="dxa"/>
          </w:tcPr>
          <w:p>
            <w:pPr>
              <w:spacing w:line="286" w:lineRule="auto"/>
              <w:ind w:firstLine="420" w:firstLineChars="200"/>
              <w:rPr>
                <w:szCs w:val="21"/>
              </w:rPr>
            </w:pPr>
            <w:r>
              <w:rPr>
                <w:szCs w:val="21"/>
              </w:rPr>
              <w:t>5</w:t>
            </w:r>
            <w:r>
              <w:rPr>
                <w:rFonts w:hint="eastAsia"/>
                <w:szCs w:val="21"/>
              </w:rPr>
              <w:t>．</w:t>
            </w:r>
            <w:r>
              <w:rPr>
                <w:szCs w:val="21"/>
              </w:rPr>
              <w:t>精神病与精神卫生学</w:t>
            </w:r>
          </w:p>
        </w:tc>
        <w:tc>
          <w:tcPr>
            <w:tcW w:w="4530" w:type="dxa"/>
          </w:tcPr>
          <w:p>
            <w:pPr>
              <w:spacing w:line="286" w:lineRule="auto"/>
              <w:rPr>
                <w:szCs w:val="21"/>
              </w:rPr>
            </w:pPr>
            <w:r>
              <w:rPr>
                <w:szCs w:val="21"/>
              </w:rPr>
              <w:t>17</w:t>
            </w:r>
            <w:r>
              <w:rPr>
                <w:rFonts w:hint="eastAsia"/>
                <w:szCs w:val="21"/>
              </w:rPr>
              <w:t>．</w:t>
            </w:r>
            <w:r>
              <w:rPr>
                <w:szCs w:val="21"/>
              </w:rPr>
              <w:t>麻醉学</w:t>
            </w:r>
          </w:p>
        </w:tc>
      </w:tr>
      <w:tr>
        <w:tblPrEx>
          <w:tblCellMar>
            <w:top w:w="0" w:type="dxa"/>
            <w:left w:w="108" w:type="dxa"/>
            <w:bottom w:w="0" w:type="dxa"/>
            <w:right w:w="108" w:type="dxa"/>
          </w:tblCellMar>
        </w:tblPrEx>
        <w:trPr>
          <w:trHeight w:val="80" w:hRule="atLeast"/>
        </w:trPr>
        <w:tc>
          <w:tcPr>
            <w:tcW w:w="4530" w:type="dxa"/>
          </w:tcPr>
          <w:p>
            <w:pPr>
              <w:spacing w:line="286" w:lineRule="auto"/>
              <w:ind w:firstLine="420" w:firstLineChars="200"/>
              <w:rPr>
                <w:szCs w:val="21"/>
              </w:rPr>
            </w:pPr>
            <w:r>
              <w:rPr>
                <w:szCs w:val="21"/>
              </w:rPr>
              <w:t>6</w:t>
            </w:r>
            <w:r>
              <w:rPr>
                <w:rFonts w:hint="eastAsia"/>
                <w:szCs w:val="21"/>
              </w:rPr>
              <w:t>．</w:t>
            </w:r>
            <w:r>
              <w:rPr>
                <w:szCs w:val="21"/>
              </w:rPr>
              <w:t>皮肤病与性病学</w:t>
            </w:r>
          </w:p>
        </w:tc>
        <w:tc>
          <w:tcPr>
            <w:tcW w:w="4530" w:type="dxa"/>
          </w:tcPr>
          <w:p>
            <w:pPr>
              <w:spacing w:line="286" w:lineRule="auto"/>
              <w:rPr>
                <w:szCs w:val="21"/>
              </w:rPr>
            </w:pPr>
            <w:r>
              <w:rPr>
                <w:szCs w:val="21"/>
              </w:rPr>
              <w:t>18</w:t>
            </w:r>
            <w:r>
              <w:rPr>
                <w:rFonts w:hint="eastAsia"/>
                <w:szCs w:val="21"/>
              </w:rPr>
              <w:t>．</w:t>
            </w:r>
            <w:r>
              <w:rPr>
                <w:szCs w:val="21"/>
              </w:rPr>
              <w:t>临床病理学</w:t>
            </w:r>
          </w:p>
        </w:tc>
      </w:tr>
      <w:tr>
        <w:tblPrEx>
          <w:tblCellMar>
            <w:top w:w="0" w:type="dxa"/>
            <w:left w:w="108" w:type="dxa"/>
            <w:bottom w:w="0" w:type="dxa"/>
            <w:right w:w="108" w:type="dxa"/>
          </w:tblCellMar>
        </w:tblPrEx>
        <w:tc>
          <w:tcPr>
            <w:tcW w:w="4530" w:type="dxa"/>
          </w:tcPr>
          <w:p>
            <w:pPr>
              <w:spacing w:line="286" w:lineRule="auto"/>
              <w:ind w:firstLine="420" w:firstLineChars="200"/>
              <w:rPr>
                <w:szCs w:val="21"/>
              </w:rPr>
            </w:pPr>
            <w:r>
              <w:rPr>
                <w:szCs w:val="21"/>
              </w:rPr>
              <w:t>7</w:t>
            </w:r>
            <w:r>
              <w:rPr>
                <w:rFonts w:hint="eastAsia"/>
                <w:szCs w:val="21"/>
              </w:rPr>
              <w:t>．</w:t>
            </w:r>
            <w:r>
              <w:rPr>
                <w:szCs w:val="21"/>
              </w:rPr>
              <w:t>急诊医学</w:t>
            </w:r>
          </w:p>
          <w:p>
            <w:pPr>
              <w:spacing w:line="286" w:lineRule="auto"/>
              <w:ind w:firstLine="420" w:firstLineChars="200"/>
              <w:rPr>
                <w:szCs w:val="21"/>
              </w:rPr>
            </w:pPr>
            <w:r>
              <w:rPr>
                <w:szCs w:val="21"/>
              </w:rPr>
              <w:t>8</w:t>
            </w:r>
            <w:r>
              <w:rPr>
                <w:rFonts w:hint="eastAsia"/>
                <w:szCs w:val="21"/>
              </w:rPr>
              <w:t>．重症</w:t>
            </w:r>
            <w:r>
              <w:rPr>
                <w:szCs w:val="21"/>
              </w:rPr>
              <w:t>医学</w:t>
            </w:r>
          </w:p>
          <w:p>
            <w:pPr>
              <w:spacing w:line="286" w:lineRule="auto"/>
              <w:ind w:firstLine="420" w:firstLineChars="200"/>
              <w:rPr>
                <w:szCs w:val="21"/>
              </w:rPr>
            </w:pPr>
            <w:r>
              <w:rPr>
                <w:szCs w:val="21"/>
              </w:rPr>
              <w:t>9</w:t>
            </w:r>
            <w:r>
              <w:rPr>
                <w:rFonts w:hint="eastAsia"/>
                <w:szCs w:val="21"/>
              </w:rPr>
              <w:t>．</w:t>
            </w:r>
            <w:r>
              <w:rPr>
                <w:szCs w:val="21"/>
              </w:rPr>
              <w:t>全科医学</w:t>
            </w:r>
          </w:p>
          <w:p>
            <w:pPr>
              <w:spacing w:line="286" w:lineRule="auto"/>
              <w:ind w:firstLine="420" w:firstLineChars="200"/>
              <w:rPr>
                <w:szCs w:val="21"/>
              </w:rPr>
            </w:pPr>
            <w:r>
              <w:rPr>
                <w:szCs w:val="21"/>
              </w:rPr>
              <w:t>10</w:t>
            </w:r>
            <w:r>
              <w:rPr>
                <w:rFonts w:hint="eastAsia"/>
                <w:szCs w:val="21"/>
              </w:rPr>
              <w:t>．</w:t>
            </w:r>
            <w:r>
              <w:rPr>
                <w:szCs w:val="21"/>
              </w:rPr>
              <w:t>康复医学与理疗学</w:t>
            </w:r>
          </w:p>
          <w:p>
            <w:pPr>
              <w:spacing w:line="286" w:lineRule="auto"/>
              <w:ind w:firstLine="420" w:firstLineChars="200"/>
              <w:rPr>
                <w:szCs w:val="21"/>
              </w:rPr>
            </w:pPr>
            <w:r>
              <w:rPr>
                <w:szCs w:val="21"/>
              </w:rPr>
              <w:t>11</w:t>
            </w:r>
            <w:r>
              <w:rPr>
                <w:rFonts w:hint="eastAsia"/>
                <w:szCs w:val="21"/>
              </w:rPr>
              <w:t>．</w:t>
            </w:r>
            <w:r>
              <w:rPr>
                <w:szCs w:val="21"/>
              </w:rPr>
              <w:t>外科学</w:t>
            </w:r>
          </w:p>
          <w:p>
            <w:pPr>
              <w:spacing w:line="286" w:lineRule="auto"/>
              <w:ind w:firstLine="420" w:firstLineChars="200"/>
              <w:rPr>
                <w:szCs w:val="21"/>
              </w:rPr>
            </w:pPr>
            <w:r>
              <w:rPr>
                <w:szCs w:val="21"/>
              </w:rPr>
              <w:t>12</w:t>
            </w:r>
            <w:r>
              <w:rPr>
                <w:rFonts w:hint="eastAsia"/>
                <w:szCs w:val="21"/>
              </w:rPr>
              <w:t>．儿</w:t>
            </w:r>
            <w:r>
              <w:rPr>
                <w:szCs w:val="21"/>
              </w:rPr>
              <w:t>外科学</w:t>
            </w:r>
          </w:p>
          <w:p>
            <w:pPr>
              <w:spacing w:line="286" w:lineRule="auto"/>
              <w:rPr>
                <w:szCs w:val="21"/>
              </w:rPr>
            </w:pPr>
          </w:p>
        </w:tc>
        <w:tc>
          <w:tcPr>
            <w:tcW w:w="4530" w:type="dxa"/>
          </w:tcPr>
          <w:p>
            <w:pPr>
              <w:spacing w:line="286" w:lineRule="auto"/>
              <w:rPr>
                <w:szCs w:val="21"/>
              </w:rPr>
            </w:pPr>
            <w:r>
              <w:rPr>
                <w:szCs w:val="21"/>
              </w:rPr>
              <w:t>19</w:t>
            </w:r>
            <w:r>
              <w:rPr>
                <w:rFonts w:hint="eastAsia"/>
                <w:szCs w:val="21"/>
              </w:rPr>
              <w:t>．</w:t>
            </w:r>
            <w:r>
              <w:rPr>
                <w:szCs w:val="21"/>
              </w:rPr>
              <w:t>临床检验诊断学</w:t>
            </w:r>
          </w:p>
          <w:p>
            <w:pPr>
              <w:spacing w:line="286" w:lineRule="auto"/>
              <w:rPr>
                <w:szCs w:val="21"/>
              </w:rPr>
            </w:pPr>
            <w:r>
              <w:rPr>
                <w:szCs w:val="21"/>
              </w:rPr>
              <w:t>20</w:t>
            </w:r>
            <w:r>
              <w:rPr>
                <w:rFonts w:hint="eastAsia"/>
                <w:szCs w:val="21"/>
              </w:rPr>
              <w:t>．</w:t>
            </w:r>
            <w:r>
              <w:rPr>
                <w:szCs w:val="21"/>
              </w:rPr>
              <w:t>肿瘤学</w:t>
            </w:r>
          </w:p>
          <w:p>
            <w:pPr>
              <w:spacing w:line="286" w:lineRule="auto"/>
              <w:rPr>
                <w:szCs w:val="21"/>
              </w:rPr>
            </w:pPr>
            <w:r>
              <w:rPr>
                <w:szCs w:val="21"/>
              </w:rPr>
              <w:t>21</w:t>
            </w:r>
            <w:r>
              <w:rPr>
                <w:rFonts w:hint="eastAsia"/>
                <w:szCs w:val="21"/>
              </w:rPr>
              <w:t>．放射</w:t>
            </w:r>
            <w:r>
              <w:rPr>
                <w:szCs w:val="21"/>
              </w:rPr>
              <w:t>肿瘤学</w:t>
            </w:r>
          </w:p>
          <w:p>
            <w:pPr>
              <w:spacing w:line="286" w:lineRule="auto"/>
              <w:rPr>
                <w:szCs w:val="21"/>
              </w:rPr>
            </w:pPr>
            <w:r>
              <w:rPr>
                <w:szCs w:val="21"/>
              </w:rPr>
              <w:t>22</w:t>
            </w:r>
            <w:r>
              <w:rPr>
                <w:rFonts w:hint="eastAsia"/>
                <w:szCs w:val="21"/>
              </w:rPr>
              <w:t>．放射</w:t>
            </w:r>
            <w:r>
              <w:rPr>
                <w:szCs w:val="21"/>
              </w:rPr>
              <w:t>影像学</w:t>
            </w:r>
          </w:p>
          <w:p>
            <w:pPr>
              <w:spacing w:line="286" w:lineRule="auto"/>
              <w:rPr>
                <w:szCs w:val="21"/>
              </w:rPr>
            </w:pPr>
            <w:r>
              <w:rPr>
                <w:szCs w:val="21"/>
              </w:rPr>
              <w:t>23</w:t>
            </w:r>
            <w:r>
              <w:rPr>
                <w:rFonts w:hint="eastAsia"/>
                <w:szCs w:val="21"/>
              </w:rPr>
              <w:t>．超声</w:t>
            </w:r>
            <w:r>
              <w:rPr>
                <w:szCs w:val="21"/>
              </w:rPr>
              <w:t>医学</w:t>
            </w:r>
          </w:p>
          <w:p>
            <w:pPr>
              <w:spacing w:line="286" w:lineRule="auto"/>
              <w:rPr>
                <w:szCs w:val="21"/>
              </w:rPr>
            </w:pPr>
            <w:r>
              <w:rPr>
                <w:szCs w:val="21"/>
              </w:rPr>
              <w:t>24</w:t>
            </w:r>
            <w:r>
              <w:rPr>
                <w:rFonts w:hint="eastAsia"/>
                <w:szCs w:val="21"/>
              </w:rPr>
              <w:t>．核医学</w:t>
            </w:r>
          </w:p>
        </w:tc>
      </w:tr>
    </w:tbl>
    <w:p>
      <w:pPr>
        <w:keepNext w:val="0"/>
        <w:keepLines w:val="0"/>
        <w:pageBreakBefore w:val="0"/>
        <w:widowControl w:val="0"/>
        <w:kinsoku/>
        <w:wordWrap/>
        <w:overflowPunct/>
        <w:topLinePunct w:val="0"/>
        <w:autoSpaceDE/>
        <w:autoSpaceDN/>
        <w:bidi w:val="0"/>
        <w:adjustRightInd/>
        <w:snapToGrid/>
        <w:spacing w:before="95" w:beforeLines="30" w:after="95" w:afterLines="30" w:line="300" w:lineRule="auto"/>
        <w:textAlignment w:val="auto"/>
        <w:rPr>
          <w:rFonts w:ascii="黑体" w:hAnsi="黑体" w:eastAsia="黑体"/>
          <w:sz w:val="24"/>
          <w:szCs w:val="24"/>
        </w:rPr>
      </w:pPr>
      <w:r>
        <w:rPr>
          <w:rFonts w:ascii="黑体" w:hAnsi="黑体" w:eastAsia="黑体"/>
          <w:sz w:val="24"/>
          <w:szCs w:val="24"/>
        </w:rPr>
        <w:t>三、学习年限</w:t>
      </w:r>
    </w:p>
    <w:p>
      <w:pPr>
        <w:keepNext w:val="0"/>
        <w:keepLines w:val="0"/>
        <w:pageBreakBefore w:val="0"/>
        <w:widowControl w:val="0"/>
        <w:kinsoku/>
        <w:wordWrap/>
        <w:overflowPunct/>
        <w:topLinePunct w:val="0"/>
        <w:autoSpaceDE/>
        <w:autoSpaceDN/>
        <w:bidi w:val="0"/>
        <w:adjustRightInd/>
        <w:snapToGrid/>
        <w:spacing w:before="95" w:beforeLines="30" w:after="95" w:afterLines="30" w:line="300" w:lineRule="auto"/>
        <w:ind w:firstLine="420" w:firstLineChars="200"/>
        <w:textAlignment w:val="auto"/>
        <w:rPr>
          <w:rFonts w:hAnsi="宋体"/>
          <w:szCs w:val="21"/>
        </w:rPr>
      </w:pPr>
      <w:r>
        <w:rPr>
          <w:rFonts w:hint="eastAsia" w:hAnsi="宋体"/>
          <w:szCs w:val="21"/>
        </w:rPr>
        <w:t>经</w:t>
      </w:r>
      <w:r>
        <w:rPr>
          <w:rFonts w:hAnsi="宋体"/>
          <w:szCs w:val="21"/>
        </w:rPr>
        <w:t>由硕士研究生入学考试录取的临床医学研究生（以下简称研究生）：学习年限为</w:t>
      </w:r>
      <w:r>
        <w:rPr>
          <w:rFonts w:hint="eastAsia" w:hAnsi="宋体"/>
          <w:szCs w:val="21"/>
        </w:rPr>
        <w:t>3</w:t>
      </w:r>
      <w:r>
        <w:rPr>
          <w:rFonts w:hAnsi="宋体"/>
          <w:szCs w:val="21"/>
        </w:rPr>
        <w:t>年。临床医学硕士专业学位研究生（住院医师）具有硕士研究生和住院医师的双重身份，接受</w:t>
      </w:r>
      <w:r>
        <w:rPr>
          <w:rFonts w:hint="eastAsia" w:hAnsi="宋体"/>
          <w:szCs w:val="21"/>
        </w:rPr>
        <w:t>学校</w:t>
      </w:r>
      <w:r>
        <w:rPr>
          <w:rFonts w:hAnsi="宋体"/>
          <w:szCs w:val="21"/>
        </w:rPr>
        <w:t>、</w:t>
      </w:r>
      <w:r>
        <w:rPr>
          <w:rFonts w:hint="eastAsia" w:hAnsi="宋体"/>
          <w:szCs w:val="21"/>
        </w:rPr>
        <w:t>附属医院（</w:t>
      </w:r>
      <w:r>
        <w:rPr>
          <w:rFonts w:hAnsi="宋体"/>
          <w:szCs w:val="21"/>
        </w:rPr>
        <w:t>培训医院</w:t>
      </w:r>
      <w:r>
        <w:rPr>
          <w:rFonts w:hint="eastAsia" w:hAnsi="宋体"/>
          <w:szCs w:val="21"/>
        </w:rPr>
        <w:t>）的共同</w:t>
      </w:r>
      <w:r>
        <w:rPr>
          <w:rFonts w:hAnsi="宋体"/>
          <w:szCs w:val="21"/>
        </w:rPr>
        <w:t>管理。</w:t>
      </w:r>
    </w:p>
    <w:p>
      <w:pPr>
        <w:keepNext w:val="0"/>
        <w:keepLines w:val="0"/>
        <w:pageBreakBefore w:val="0"/>
        <w:widowControl w:val="0"/>
        <w:kinsoku/>
        <w:wordWrap/>
        <w:overflowPunct/>
        <w:topLinePunct w:val="0"/>
        <w:autoSpaceDE/>
        <w:autoSpaceDN/>
        <w:bidi w:val="0"/>
        <w:adjustRightInd/>
        <w:snapToGrid/>
        <w:spacing w:before="95" w:beforeLines="30" w:after="95" w:afterLines="30" w:line="300" w:lineRule="auto"/>
        <w:textAlignment w:val="auto"/>
        <w:rPr>
          <w:rFonts w:ascii="黑体" w:hAnsi="黑体" w:eastAsia="黑体"/>
          <w:sz w:val="24"/>
          <w:szCs w:val="24"/>
        </w:rPr>
      </w:pPr>
      <w:r>
        <w:rPr>
          <w:rFonts w:ascii="黑体" w:hAnsi="黑体" w:eastAsia="黑体"/>
          <w:sz w:val="24"/>
          <w:szCs w:val="24"/>
        </w:rPr>
        <w:t>四、培养方式</w:t>
      </w:r>
    </w:p>
    <w:p>
      <w:pPr>
        <w:keepNext w:val="0"/>
        <w:keepLines w:val="0"/>
        <w:pageBreakBefore w:val="0"/>
        <w:widowControl w:val="0"/>
        <w:kinsoku/>
        <w:wordWrap/>
        <w:overflowPunct/>
        <w:topLinePunct w:val="0"/>
        <w:autoSpaceDE/>
        <w:autoSpaceDN/>
        <w:bidi w:val="0"/>
        <w:adjustRightInd/>
        <w:snapToGrid/>
        <w:spacing w:before="95" w:beforeLines="30" w:after="95" w:afterLines="30" w:line="300" w:lineRule="auto"/>
        <w:ind w:firstLine="420" w:firstLineChars="200"/>
        <w:textAlignment w:val="auto"/>
        <w:rPr>
          <w:szCs w:val="21"/>
        </w:rPr>
      </w:pPr>
      <w:r>
        <w:rPr>
          <w:szCs w:val="21"/>
        </w:rPr>
        <w:t>1．实行导师指导和课题组集体培养相结合的方式。</w:t>
      </w:r>
    </w:p>
    <w:p>
      <w:pPr>
        <w:keepNext w:val="0"/>
        <w:keepLines w:val="0"/>
        <w:pageBreakBefore w:val="0"/>
        <w:widowControl w:val="0"/>
        <w:kinsoku/>
        <w:wordWrap/>
        <w:overflowPunct/>
        <w:topLinePunct w:val="0"/>
        <w:autoSpaceDE/>
        <w:autoSpaceDN/>
        <w:bidi w:val="0"/>
        <w:adjustRightInd/>
        <w:snapToGrid/>
        <w:spacing w:before="95" w:beforeLines="30" w:after="95" w:afterLines="30" w:line="300" w:lineRule="auto"/>
        <w:ind w:firstLine="420" w:firstLineChars="200"/>
        <w:textAlignment w:val="auto"/>
        <w:rPr>
          <w:szCs w:val="21"/>
        </w:rPr>
      </w:pPr>
      <w:r>
        <w:rPr>
          <w:szCs w:val="21"/>
        </w:rPr>
        <w:t>2．课程学习可采用上课、自学、辅导、讨论等方式。</w:t>
      </w:r>
    </w:p>
    <w:p>
      <w:pPr>
        <w:keepNext w:val="0"/>
        <w:keepLines w:val="0"/>
        <w:pageBreakBefore w:val="0"/>
        <w:widowControl w:val="0"/>
        <w:kinsoku/>
        <w:wordWrap/>
        <w:overflowPunct/>
        <w:topLinePunct w:val="0"/>
        <w:autoSpaceDE/>
        <w:autoSpaceDN/>
        <w:bidi w:val="0"/>
        <w:adjustRightInd/>
        <w:snapToGrid/>
        <w:spacing w:before="95" w:beforeLines="30" w:after="95" w:afterLines="30" w:line="300" w:lineRule="auto"/>
        <w:ind w:firstLine="420" w:firstLineChars="200"/>
        <w:textAlignment w:val="auto"/>
        <w:rPr>
          <w:szCs w:val="21"/>
        </w:rPr>
      </w:pPr>
      <w:r>
        <w:rPr>
          <w:szCs w:val="21"/>
        </w:rPr>
        <w:t>3．</w:t>
      </w:r>
      <w:r>
        <w:rPr>
          <w:rFonts w:hint="eastAsia" w:ascii="宋体" w:hAnsi="宋体" w:cs="宋体"/>
          <w:szCs w:val="21"/>
        </w:rPr>
        <w:t>导师应根据本培养方案和因材施教的原则</w:t>
      </w:r>
      <w:r>
        <w:rPr>
          <w:szCs w:val="21"/>
        </w:rPr>
        <w:t>，于硕士生入学后2个月内，制定出具体的培养计划。</w:t>
      </w:r>
    </w:p>
    <w:p>
      <w:pPr>
        <w:keepNext w:val="0"/>
        <w:keepLines w:val="0"/>
        <w:pageBreakBefore w:val="0"/>
        <w:widowControl w:val="0"/>
        <w:kinsoku/>
        <w:wordWrap/>
        <w:overflowPunct/>
        <w:topLinePunct w:val="0"/>
        <w:autoSpaceDE/>
        <w:autoSpaceDN/>
        <w:bidi w:val="0"/>
        <w:adjustRightInd/>
        <w:snapToGrid/>
        <w:spacing w:before="95" w:beforeLines="30" w:after="95" w:afterLines="30" w:line="300" w:lineRule="auto"/>
        <w:ind w:firstLine="420" w:firstLineChars="200"/>
        <w:textAlignment w:val="auto"/>
        <w:rPr>
          <w:szCs w:val="21"/>
        </w:rPr>
      </w:pPr>
      <w:r>
        <w:rPr>
          <w:szCs w:val="21"/>
        </w:rPr>
        <w:t>4．开题应注重培养硕士生的创新能力及科研能力，在导师的指导下，通过查阅文献、调查研究后由本人确定。开题报告必须有详细记录，记录填写在</w:t>
      </w:r>
      <w:r>
        <w:rPr>
          <w:bCs/>
          <w:szCs w:val="21"/>
        </w:rPr>
        <w:t>《西安交通大学研究生开题报告》中。</w:t>
      </w:r>
    </w:p>
    <w:p>
      <w:pPr>
        <w:keepNext w:val="0"/>
        <w:keepLines w:val="0"/>
        <w:pageBreakBefore w:val="0"/>
        <w:widowControl w:val="0"/>
        <w:kinsoku/>
        <w:wordWrap/>
        <w:overflowPunct/>
        <w:topLinePunct w:val="0"/>
        <w:autoSpaceDE/>
        <w:autoSpaceDN/>
        <w:bidi w:val="0"/>
        <w:adjustRightInd/>
        <w:snapToGrid/>
        <w:spacing w:before="95" w:beforeLines="30" w:after="95" w:afterLines="30" w:line="300" w:lineRule="auto"/>
        <w:ind w:firstLine="420" w:firstLineChars="200"/>
        <w:textAlignment w:val="auto"/>
        <w:rPr>
          <w:szCs w:val="21"/>
        </w:rPr>
      </w:pPr>
      <w:r>
        <w:rPr>
          <w:szCs w:val="21"/>
        </w:rPr>
        <w:t>5．临床实习由各</w:t>
      </w:r>
      <w:r>
        <w:rPr>
          <w:rFonts w:hint="eastAsia"/>
          <w:szCs w:val="21"/>
        </w:rPr>
        <w:t>附属</w:t>
      </w:r>
      <w:r>
        <w:rPr>
          <w:szCs w:val="21"/>
        </w:rPr>
        <w:t>医院研究生管理部门统一负责安排。</w:t>
      </w:r>
    </w:p>
    <w:p>
      <w:pPr>
        <w:keepNext w:val="0"/>
        <w:keepLines w:val="0"/>
        <w:pageBreakBefore w:val="0"/>
        <w:widowControl w:val="0"/>
        <w:kinsoku/>
        <w:wordWrap/>
        <w:overflowPunct/>
        <w:topLinePunct w:val="0"/>
        <w:autoSpaceDE/>
        <w:autoSpaceDN/>
        <w:bidi w:val="0"/>
        <w:adjustRightInd/>
        <w:snapToGrid/>
        <w:spacing w:before="95" w:beforeLines="30" w:after="95" w:afterLines="30" w:line="300" w:lineRule="auto"/>
        <w:ind w:firstLine="420" w:firstLineChars="200"/>
        <w:textAlignment w:val="auto"/>
        <w:rPr>
          <w:szCs w:val="21"/>
        </w:rPr>
      </w:pPr>
      <w:r>
        <w:rPr>
          <w:szCs w:val="21"/>
        </w:rPr>
        <w:t>6．硕士生应参加校、院组织的研讨会或其它学术活动。根据科研工作的需要，可适当安排外出参加有关学术活动。</w:t>
      </w:r>
    </w:p>
    <w:p>
      <w:pPr>
        <w:keepNext w:val="0"/>
        <w:keepLines w:val="0"/>
        <w:pageBreakBefore w:val="0"/>
        <w:widowControl w:val="0"/>
        <w:kinsoku/>
        <w:wordWrap/>
        <w:overflowPunct/>
        <w:topLinePunct w:val="0"/>
        <w:autoSpaceDE/>
        <w:autoSpaceDN/>
        <w:bidi w:val="0"/>
        <w:adjustRightInd/>
        <w:snapToGrid/>
        <w:spacing w:before="95" w:beforeLines="30" w:after="95" w:afterLines="30" w:line="300" w:lineRule="auto"/>
        <w:ind w:firstLine="420" w:firstLineChars="200"/>
        <w:textAlignment w:val="auto"/>
        <w:rPr>
          <w:szCs w:val="21"/>
        </w:rPr>
      </w:pPr>
      <w:r>
        <w:rPr>
          <w:szCs w:val="21"/>
        </w:rPr>
        <w:t>7</w:t>
      </w:r>
      <w:r>
        <w:rPr>
          <w:rFonts w:hint="eastAsia"/>
          <w:szCs w:val="21"/>
        </w:rPr>
        <w:t>．</w:t>
      </w:r>
      <w:r>
        <w:rPr>
          <w:szCs w:val="21"/>
        </w:rPr>
        <w:t>硕士生应在第四学期结束前完成中期考核，考核不通过者，可以参加下学期的中期考核。</w:t>
      </w:r>
    </w:p>
    <w:p>
      <w:pPr>
        <w:keepNext w:val="0"/>
        <w:keepLines w:val="0"/>
        <w:pageBreakBefore w:val="0"/>
        <w:widowControl w:val="0"/>
        <w:kinsoku/>
        <w:wordWrap/>
        <w:overflowPunct/>
        <w:topLinePunct w:val="0"/>
        <w:autoSpaceDE/>
        <w:autoSpaceDN/>
        <w:bidi w:val="0"/>
        <w:adjustRightInd/>
        <w:snapToGrid/>
        <w:spacing w:before="95" w:beforeLines="30" w:after="95" w:afterLines="30" w:line="300" w:lineRule="auto"/>
        <w:ind w:firstLine="420" w:firstLineChars="200"/>
        <w:contextualSpacing/>
        <w:textAlignment w:val="auto"/>
        <w:rPr>
          <w:szCs w:val="21"/>
        </w:rPr>
      </w:pPr>
      <w:r>
        <w:rPr>
          <w:rFonts w:hint="eastAsia"/>
          <w:kern w:val="0"/>
          <w:szCs w:val="21"/>
        </w:rPr>
        <w:t>8. 研究生的开题报告和中期报告中应包含实验安全风险评估的内容。</w:t>
      </w:r>
    </w:p>
    <w:p>
      <w:pPr>
        <w:keepNext w:val="0"/>
        <w:keepLines w:val="0"/>
        <w:pageBreakBefore w:val="0"/>
        <w:widowControl w:val="0"/>
        <w:kinsoku/>
        <w:wordWrap/>
        <w:overflowPunct/>
        <w:topLinePunct w:val="0"/>
        <w:autoSpaceDE/>
        <w:autoSpaceDN/>
        <w:bidi w:val="0"/>
        <w:adjustRightInd/>
        <w:snapToGrid/>
        <w:spacing w:before="95" w:beforeLines="30" w:after="95" w:afterLines="30" w:line="300" w:lineRule="auto"/>
        <w:textAlignment w:val="auto"/>
        <w:rPr>
          <w:rFonts w:ascii="黑体" w:hAnsi="黑体" w:eastAsia="黑体"/>
          <w:sz w:val="24"/>
          <w:szCs w:val="24"/>
        </w:rPr>
      </w:pPr>
      <w:r>
        <w:rPr>
          <w:rFonts w:hint="eastAsia" w:ascii="黑体" w:hAnsi="黑体" w:eastAsia="黑体"/>
          <w:sz w:val="24"/>
          <w:szCs w:val="24"/>
        </w:rPr>
        <w:t>五</w:t>
      </w:r>
      <w:r>
        <w:rPr>
          <w:rFonts w:ascii="黑体" w:hAnsi="黑体" w:eastAsia="黑体"/>
          <w:sz w:val="24"/>
          <w:szCs w:val="24"/>
        </w:rPr>
        <w:t>、课程学习</w:t>
      </w:r>
      <w:r>
        <w:rPr>
          <w:rFonts w:hint="eastAsia" w:ascii="黑体" w:hAnsi="黑体" w:eastAsia="黑体"/>
          <w:sz w:val="24"/>
          <w:szCs w:val="24"/>
        </w:rPr>
        <w:t xml:space="preserve"> </w:t>
      </w:r>
    </w:p>
    <w:p>
      <w:pPr>
        <w:keepNext w:val="0"/>
        <w:keepLines w:val="0"/>
        <w:pageBreakBefore w:val="0"/>
        <w:widowControl w:val="0"/>
        <w:kinsoku/>
        <w:wordWrap/>
        <w:overflowPunct/>
        <w:topLinePunct w:val="0"/>
        <w:autoSpaceDE/>
        <w:autoSpaceDN/>
        <w:bidi w:val="0"/>
        <w:adjustRightInd/>
        <w:snapToGrid/>
        <w:spacing w:before="95" w:beforeLines="30" w:after="95" w:afterLines="30" w:line="300" w:lineRule="auto"/>
        <w:ind w:firstLine="420" w:firstLineChars="200"/>
        <w:textAlignment w:val="auto"/>
        <w:rPr>
          <w:rFonts w:hAnsi="宋体"/>
          <w:szCs w:val="21"/>
        </w:rPr>
      </w:pPr>
      <w:r>
        <w:rPr>
          <w:rFonts w:hint="eastAsia" w:hAnsi="宋体"/>
          <w:szCs w:val="21"/>
        </w:rPr>
        <w:t>课程学习实行学分制，由公共学位课、专业基础和专业课等课程组成。专业基础课程和住院医师规范化培训公共科目完全一致，上课方式采取分散与集中结合的方式。专业理论课根据住院医师规范化培训标准细则要求，以自学与专题讲座相结合的方式进行。为适应住院医师规范化培训的要求，临床专业学位研究生的课程主要安排在晚上或周末进行。</w:t>
      </w:r>
    </w:p>
    <w:p>
      <w:pPr>
        <w:keepNext w:val="0"/>
        <w:keepLines w:val="0"/>
        <w:pageBreakBefore w:val="0"/>
        <w:widowControl w:val="0"/>
        <w:kinsoku/>
        <w:wordWrap/>
        <w:overflowPunct/>
        <w:topLinePunct w:val="0"/>
        <w:autoSpaceDE/>
        <w:autoSpaceDN/>
        <w:bidi w:val="0"/>
        <w:adjustRightInd/>
        <w:snapToGrid/>
        <w:spacing w:before="95" w:beforeLines="30" w:after="95" w:afterLines="30" w:line="300" w:lineRule="auto"/>
        <w:ind w:left="-15" w:leftChars="-7" w:firstLine="430" w:firstLineChars="205"/>
        <w:textAlignment w:val="auto"/>
        <w:rPr>
          <w:szCs w:val="21"/>
        </w:rPr>
      </w:pPr>
      <w:r>
        <w:rPr>
          <w:szCs w:val="21"/>
        </w:rPr>
        <w:t>本学科的研究生在校期间至少修满</w:t>
      </w:r>
      <w:r>
        <w:rPr>
          <w:rFonts w:hint="eastAsia"/>
          <w:szCs w:val="21"/>
        </w:rPr>
        <w:t>39</w:t>
      </w:r>
      <w:r>
        <w:rPr>
          <w:szCs w:val="21"/>
        </w:rPr>
        <w:t>学分，其中校</w:t>
      </w:r>
      <w:r>
        <w:rPr>
          <w:rFonts w:hint="eastAsia"/>
          <w:szCs w:val="21"/>
        </w:rPr>
        <w:t>公共学位</w:t>
      </w:r>
      <w:r>
        <w:rPr>
          <w:szCs w:val="21"/>
        </w:rPr>
        <w:t>课程不少于5学分，学院公共学位课</w:t>
      </w:r>
      <w:r>
        <w:rPr>
          <w:rFonts w:hint="eastAsia"/>
          <w:szCs w:val="21"/>
        </w:rPr>
        <w:t>4</w:t>
      </w:r>
      <w:r>
        <w:rPr>
          <w:szCs w:val="21"/>
        </w:rPr>
        <w:t>学分，专业基础课</w:t>
      </w:r>
      <w:r>
        <w:rPr>
          <w:rFonts w:hint="eastAsia"/>
          <w:szCs w:val="21"/>
        </w:rPr>
        <w:t>5</w:t>
      </w:r>
      <w:r>
        <w:rPr>
          <w:szCs w:val="21"/>
        </w:rPr>
        <w:t>学分，专业必修课3学分，临床实践1</w:t>
      </w:r>
      <w:r>
        <w:rPr>
          <w:rFonts w:hint="eastAsia"/>
          <w:szCs w:val="21"/>
        </w:rPr>
        <w:t>8</w:t>
      </w:r>
      <w:r>
        <w:rPr>
          <w:szCs w:val="21"/>
        </w:rPr>
        <w:t>学分。</w:t>
      </w:r>
      <w:r>
        <w:rPr>
          <w:bCs/>
        </w:rPr>
        <w:t>另外要求必修环节</w:t>
      </w:r>
      <w:r>
        <w:rPr>
          <w:rFonts w:hint="eastAsia"/>
          <w:bCs/>
        </w:rPr>
        <w:t>4</w:t>
      </w:r>
      <w:r>
        <w:rPr>
          <w:bCs/>
        </w:rPr>
        <w:t>学分，</w:t>
      </w:r>
      <w:r>
        <w:rPr>
          <w:szCs w:val="21"/>
        </w:rPr>
        <w:t>其中学术活动1学分，中期考核3学分。</w:t>
      </w:r>
    </w:p>
    <w:tbl>
      <w:tblPr>
        <w:tblStyle w:val="37"/>
        <w:tblW w:w="45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024"/>
        <w:gridCol w:w="1100"/>
        <w:gridCol w:w="1373"/>
        <w:gridCol w:w="2898"/>
        <w:gridCol w:w="421"/>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32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b/>
                <w:szCs w:val="21"/>
              </w:rPr>
            </w:pPr>
            <w:r>
              <w:rPr>
                <w:b/>
                <w:szCs w:val="21"/>
              </w:rPr>
              <w:t>课程类型</w:t>
            </w:r>
          </w:p>
        </w:tc>
        <w:tc>
          <w:tcPr>
            <w:tcW w:w="62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szCs w:val="21"/>
              </w:rPr>
            </w:pPr>
            <w:r>
              <w:rPr>
                <w:b/>
                <w:szCs w:val="21"/>
              </w:rPr>
              <w:t>课程性质</w:t>
            </w:r>
          </w:p>
        </w:tc>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szCs w:val="21"/>
              </w:rPr>
            </w:pPr>
            <w:r>
              <w:rPr>
                <w:b/>
                <w:szCs w:val="21"/>
              </w:rPr>
              <w:t>课程编号</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szCs w:val="21"/>
              </w:rPr>
            </w:pPr>
            <w:r>
              <w:rPr>
                <w:rFonts w:hint="eastAsia"/>
                <w:b/>
                <w:szCs w:val="21"/>
              </w:rPr>
              <w:t>统一编码</w:t>
            </w:r>
          </w:p>
        </w:tc>
        <w:tc>
          <w:tcPr>
            <w:tcW w:w="17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szCs w:val="21"/>
              </w:rPr>
            </w:pPr>
            <w:r>
              <w:rPr>
                <w:b/>
                <w:szCs w:val="21"/>
              </w:rPr>
              <w:t>课程名称</w:t>
            </w:r>
          </w:p>
        </w:tc>
        <w:tc>
          <w:tcPr>
            <w:tcW w:w="2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szCs w:val="21"/>
              </w:rPr>
            </w:pPr>
            <w:r>
              <w:rPr>
                <w:b/>
                <w:szCs w:val="21"/>
              </w:rPr>
              <w:t>学分</w:t>
            </w:r>
          </w:p>
        </w:tc>
        <w:tc>
          <w:tcPr>
            <w:tcW w:w="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szCs w:val="21"/>
              </w:rPr>
            </w:pPr>
            <w:r>
              <w:rPr>
                <w:b/>
                <w:szCs w:val="21"/>
              </w:rPr>
              <w:t>应修学分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学位课</w:t>
            </w:r>
          </w:p>
        </w:tc>
        <w:tc>
          <w:tcPr>
            <w:tcW w:w="627"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校公共</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学位课</w:t>
            </w:r>
          </w:p>
        </w:tc>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141003</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ascii="宋体" w:hAnsi="宋体"/>
                <w:szCs w:val="21"/>
              </w:rPr>
              <w:t>MLMD6003</w:t>
            </w:r>
            <w:r>
              <w:rPr>
                <w:rFonts w:hint="eastAsia" w:ascii="宋体" w:hAnsi="宋体"/>
                <w:szCs w:val="21"/>
              </w:rPr>
              <w:t>14</w:t>
            </w:r>
          </w:p>
        </w:tc>
        <w:tc>
          <w:tcPr>
            <w:tcW w:w="17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Cs w:val="21"/>
              </w:rPr>
            </w:pPr>
            <w:r>
              <w:rPr>
                <w:rFonts w:hint="eastAsia"/>
                <w:szCs w:val="21"/>
              </w:rPr>
              <w:t>新时代中国特色社会主义理论与实践</w:t>
            </w:r>
          </w:p>
        </w:tc>
        <w:tc>
          <w:tcPr>
            <w:tcW w:w="2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2</w:t>
            </w:r>
          </w:p>
        </w:tc>
        <w:tc>
          <w:tcPr>
            <w:tcW w:w="490"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141005</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ascii="宋体" w:hAnsi="宋体"/>
                <w:szCs w:val="21"/>
              </w:rPr>
              <w:t>PHLS6001</w:t>
            </w:r>
            <w:r>
              <w:rPr>
                <w:rFonts w:hint="eastAsia" w:ascii="宋体" w:hAnsi="宋体"/>
                <w:szCs w:val="21"/>
              </w:rPr>
              <w:t>14</w:t>
            </w:r>
          </w:p>
        </w:tc>
        <w:tc>
          <w:tcPr>
            <w:tcW w:w="17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Cs w:val="21"/>
              </w:rPr>
            </w:pPr>
            <w:r>
              <w:rPr>
                <w:szCs w:val="21"/>
              </w:rPr>
              <w:t>自然辩证法概论</w:t>
            </w:r>
          </w:p>
        </w:tc>
        <w:tc>
          <w:tcPr>
            <w:tcW w:w="2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1</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7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121068</w:t>
            </w:r>
          </w:p>
        </w:tc>
        <w:tc>
          <w:tcPr>
            <w:tcW w:w="84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ENGL602212</w:t>
            </w:r>
          </w:p>
        </w:tc>
        <w:tc>
          <w:tcPr>
            <w:tcW w:w="1777"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Cs w:val="21"/>
              </w:rPr>
            </w:pPr>
            <w:r>
              <w:rPr>
                <w:rFonts w:hint="eastAsia" w:ascii="Calibri" w:hAnsi="Calibri"/>
              </w:rPr>
              <w:t>医学英语</w:t>
            </w:r>
          </w:p>
        </w:tc>
        <w:tc>
          <w:tcPr>
            <w:tcW w:w="2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2</w:t>
            </w:r>
          </w:p>
        </w:tc>
        <w:tc>
          <w:tcPr>
            <w:tcW w:w="490"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院公共</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学位课</w:t>
            </w:r>
          </w:p>
        </w:tc>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152050</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ascii="宋体" w:hAnsi="宋体"/>
                <w:szCs w:val="21"/>
              </w:rPr>
              <w:t>PUBH6107</w:t>
            </w:r>
            <w:r>
              <w:rPr>
                <w:rFonts w:hint="eastAsia" w:ascii="宋体" w:hAnsi="宋体"/>
                <w:szCs w:val="21"/>
              </w:rPr>
              <w:t>15</w:t>
            </w:r>
          </w:p>
        </w:tc>
        <w:tc>
          <w:tcPr>
            <w:tcW w:w="17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Cs w:val="21"/>
              </w:rPr>
            </w:pPr>
            <w:r>
              <w:rPr>
                <w:szCs w:val="21"/>
              </w:rPr>
              <w:t>医学统计学</w:t>
            </w:r>
          </w:p>
        </w:tc>
        <w:tc>
          <w:tcPr>
            <w:tcW w:w="2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2</w:t>
            </w:r>
          </w:p>
        </w:tc>
        <w:tc>
          <w:tcPr>
            <w:tcW w:w="490"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74"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152044</w:t>
            </w:r>
          </w:p>
        </w:tc>
        <w:tc>
          <w:tcPr>
            <w:tcW w:w="841"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ascii="宋体" w:hAnsi="宋体"/>
                <w:szCs w:val="21"/>
              </w:rPr>
              <w:t>PUBH6101</w:t>
            </w:r>
            <w:r>
              <w:rPr>
                <w:rFonts w:hint="eastAsia" w:ascii="宋体" w:hAnsi="宋体"/>
                <w:szCs w:val="21"/>
              </w:rPr>
              <w:t>15</w:t>
            </w:r>
          </w:p>
        </w:tc>
        <w:tc>
          <w:tcPr>
            <w:tcW w:w="1777"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Cs w:val="21"/>
              </w:rPr>
            </w:pPr>
            <w:r>
              <w:rPr>
                <w:szCs w:val="21"/>
              </w:rPr>
              <w:t>临床流行病学</w:t>
            </w:r>
          </w:p>
        </w:tc>
        <w:tc>
          <w:tcPr>
            <w:tcW w:w="258"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2</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rFonts w:hint="eastAsia"/>
                <w:szCs w:val="21"/>
              </w:rPr>
              <w:t>专业基础课(与住院医师课程衔接)</w:t>
            </w:r>
          </w:p>
        </w:tc>
        <w:tc>
          <w:tcPr>
            <w:tcW w:w="674"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152173</w:t>
            </w:r>
          </w:p>
        </w:tc>
        <w:tc>
          <w:tcPr>
            <w:tcW w:w="841"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CLIM611115</w:t>
            </w:r>
          </w:p>
        </w:tc>
        <w:tc>
          <w:tcPr>
            <w:tcW w:w="1777"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Cs w:val="21"/>
              </w:rPr>
            </w:pPr>
            <w:r>
              <w:rPr>
                <w:rFonts w:hint="eastAsia"/>
                <w:szCs w:val="21"/>
              </w:rPr>
              <w:t>医学伦理与人际沟通</w:t>
            </w:r>
          </w:p>
        </w:tc>
        <w:tc>
          <w:tcPr>
            <w:tcW w:w="258"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rFonts w:hint="eastAsia"/>
                <w:szCs w:val="21"/>
              </w:rPr>
              <w:t>1</w:t>
            </w:r>
          </w:p>
        </w:tc>
        <w:tc>
          <w:tcPr>
            <w:tcW w:w="490" w:type="pct"/>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74"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152174</w:t>
            </w:r>
          </w:p>
        </w:tc>
        <w:tc>
          <w:tcPr>
            <w:tcW w:w="841"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CLIM611015</w:t>
            </w:r>
          </w:p>
        </w:tc>
        <w:tc>
          <w:tcPr>
            <w:tcW w:w="1777"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Cs w:val="21"/>
              </w:rPr>
            </w:pPr>
            <w:r>
              <w:rPr>
                <w:rFonts w:hint="eastAsia"/>
                <w:szCs w:val="21"/>
              </w:rPr>
              <w:t>公共卫生与预防医学</w:t>
            </w:r>
          </w:p>
        </w:tc>
        <w:tc>
          <w:tcPr>
            <w:tcW w:w="258"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rFonts w:hint="eastAsia"/>
                <w:szCs w:val="21"/>
              </w:rPr>
              <w:t>1</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74"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152175</w:t>
            </w:r>
          </w:p>
        </w:tc>
        <w:tc>
          <w:tcPr>
            <w:tcW w:w="841"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CLIM610815</w:t>
            </w:r>
          </w:p>
        </w:tc>
        <w:tc>
          <w:tcPr>
            <w:tcW w:w="1777"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Cs w:val="21"/>
              </w:rPr>
            </w:pPr>
            <w:r>
              <w:rPr>
                <w:rFonts w:hint="eastAsia"/>
                <w:szCs w:val="21"/>
              </w:rPr>
              <w:t>重点传染病防治知识</w:t>
            </w:r>
          </w:p>
        </w:tc>
        <w:tc>
          <w:tcPr>
            <w:tcW w:w="258"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rFonts w:hint="eastAsia"/>
                <w:szCs w:val="21"/>
              </w:rPr>
              <w:t>1</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74"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152176</w:t>
            </w:r>
          </w:p>
        </w:tc>
        <w:tc>
          <w:tcPr>
            <w:tcW w:w="841"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CLIM610615</w:t>
            </w:r>
          </w:p>
        </w:tc>
        <w:tc>
          <w:tcPr>
            <w:tcW w:w="1777"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Cs w:val="21"/>
              </w:rPr>
            </w:pPr>
            <w:r>
              <w:rPr>
                <w:rFonts w:hint="eastAsia"/>
                <w:szCs w:val="21"/>
              </w:rPr>
              <w:t>循征医学</w:t>
            </w:r>
          </w:p>
        </w:tc>
        <w:tc>
          <w:tcPr>
            <w:tcW w:w="258"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rFonts w:hint="eastAsia"/>
                <w:szCs w:val="21"/>
              </w:rPr>
              <w:t>1</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74"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152177</w:t>
            </w:r>
          </w:p>
        </w:tc>
        <w:tc>
          <w:tcPr>
            <w:tcW w:w="841"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CLIM610915</w:t>
            </w:r>
          </w:p>
        </w:tc>
        <w:tc>
          <w:tcPr>
            <w:tcW w:w="1777"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Cs w:val="21"/>
              </w:rPr>
            </w:pPr>
            <w:r>
              <w:rPr>
                <w:rFonts w:hint="eastAsia"/>
                <w:szCs w:val="21"/>
              </w:rPr>
              <w:t>卫生法律法规</w:t>
            </w:r>
          </w:p>
        </w:tc>
        <w:tc>
          <w:tcPr>
            <w:tcW w:w="258"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rFonts w:hint="eastAsia"/>
                <w:szCs w:val="21"/>
              </w:rPr>
              <w:t>1</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专业</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必修课</w:t>
            </w:r>
          </w:p>
        </w:tc>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152079</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ascii="宋体" w:hAnsi="宋体"/>
                <w:szCs w:val="21"/>
              </w:rPr>
              <w:t>ENGL7120</w:t>
            </w:r>
            <w:r>
              <w:rPr>
                <w:rFonts w:hint="eastAsia" w:ascii="宋体" w:hAnsi="宋体"/>
                <w:szCs w:val="21"/>
              </w:rPr>
              <w:t>15</w:t>
            </w:r>
          </w:p>
        </w:tc>
        <w:tc>
          <w:tcPr>
            <w:tcW w:w="17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Cs w:val="21"/>
              </w:rPr>
            </w:pPr>
            <w:r>
              <w:rPr>
                <w:szCs w:val="21"/>
              </w:rPr>
              <w:t>医学专业英语（2）</w:t>
            </w:r>
          </w:p>
        </w:tc>
        <w:tc>
          <w:tcPr>
            <w:tcW w:w="2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1</w:t>
            </w:r>
          </w:p>
        </w:tc>
        <w:tc>
          <w:tcPr>
            <w:tcW w:w="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152102</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ascii="宋体" w:hAnsi="宋体"/>
                <w:szCs w:val="21"/>
              </w:rPr>
              <w:t>CLIM7108</w:t>
            </w:r>
            <w:r>
              <w:rPr>
                <w:rFonts w:hint="eastAsia" w:ascii="宋体" w:hAnsi="宋体"/>
                <w:szCs w:val="21"/>
              </w:rPr>
              <w:t>15</w:t>
            </w:r>
          </w:p>
        </w:tc>
        <w:tc>
          <w:tcPr>
            <w:tcW w:w="17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Cs w:val="21"/>
              </w:rPr>
            </w:pPr>
            <w:r>
              <w:rPr>
                <w:szCs w:val="21"/>
              </w:rPr>
              <w:t>内科学（2）</w:t>
            </w:r>
          </w:p>
        </w:tc>
        <w:tc>
          <w:tcPr>
            <w:tcW w:w="2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2</w:t>
            </w:r>
          </w:p>
        </w:tc>
        <w:tc>
          <w:tcPr>
            <w:tcW w:w="490"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rFonts w:hint="eastAsia"/>
                <w:szCs w:val="21"/>
              </w:rPr>
              <w:t>根据学生的专业选修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2</w:t>
            </w:r>
            <w:r>
              <w:rPr>
                <w:rFonts w:hint="eastAsia"/>
                <w:szCs w:val="21"/>
              </w:rPr>
              <w:t>学分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152105</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ascii="宋体" w:hAnsi="宋体"/>
                <w:szCs w:val="21"/>
              </w:rPr>
              <w:t>CLIM7111</w:t>
            </w:r>
            <w:r>
              <w:rPr>
                <w:rFonts w:hint="eastAsia" w:ascii="宋体" w:hAnsi="宋体"/>
                <w:szCs w:val="21"/>
              </w:rPr>
              <w:t>15</w:t>
            </w:r>
          </w:p>
        </w:tc>
        <w:tc>
          <w:tcPr>
            <w:tcW w:w="17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Cs w:val="21"/>
              </w:rPr>
            </w:pPr>
            <w:r>
              <w:rPr>
                <w:szCs w:val="21"/>
              </w:rPr>
              <w:t>儿科学（2）</w:t>
            </w:r>
          </w:p>
        </w:tc>
        <w:tc>
          <w:tcPr>
            <w:tcW w:w="2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2</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152130</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ascii="宋体" w:hAnsi="宋体"/>
                <w:szCs w:val="21"/>
              </w:rPr>
              <w:t>CLIM7117</w:t>
            </w:r>
            <w:r>
              <w:rPr>
                <w:rFonts w:hint="eastAsia" w:ascii="宋体" w:hAnsi="宋体"/>
                <w:szCs w:val="21"/>
              </w:rPr>
              <w:t>15</w:t>
            </w:r>
          </w:p>
        </w:tc>
        <w:tc>
          <w:tcPr>
            <w:tcW w:w="17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Cs w:val="21"/>
              </w:rPr>
            </w:pPr>
            <w:r>
              <w:rPr>
                <w:szCs w:val="21"/>
              </w:rPr>
              <w:t>老年医学（2）</w:t>
            </w:r>
          </w:p>
        </w:tc>
        <w:tc>
          <w:tcPr>
            <w:tcW w:w="2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2</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152104</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ascii="宋体" w:hAnsi="宋体"/>
                <w:szCs w:val="21"/>
              </w:rPr>
              <w:t>CLIM7110</w:t>
            </w:r>
            <w:r>
              <w:rPr>
                <w:rFonts w:hint="eastAsia" w:ascii="宋体" w:hAnsi="宋体"/>
                <w:szCs w:val="21"/>
              </w:rPr>
              <w:t>15</w:t>
            </w:r>
          </w:p>
        </w:tc>
        <w:tc>
          <w:tcPr>
            <w:tcW w:w="17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Cs w:val="21"/>
              </w:rPr>
            </w:pPr>
            <w:r>
              <w:rPr>
                <w:szCs w:val="21"/>
              </w:rPr>
              <w:t>神经病学（2）</w:t>
            </w:r>
          </w:p>
        </w:tc>
        <w:tc>
          <w:tcPr>
            <w:tcW w:w="2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2</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152108</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ascii="宋体" w:hAnsi="宋体"/>
                <w:szCs w:val="21"/>
              </w:rPr>
              <w:t>CLIM7113</w:t>
            </w:r>
            <w:r>
              <w:rPr>
                <w:rFonts w:hint="eastAsia" w:ascii="宋体" w:hAnsi="宋体"/>
                <w:szCs w:val="21"/>
              </w:rPr>
              <w:t>15</w:t>
            </w:r>
          </w:p>
        </w:tc>
        <w:tc>
          <w:tcPr>
            <w:tcW w:w="17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Cs w:val="21"/>
              </w:rPr>
            </w:pPr>
            <w:r>
              <w:rPr>
                <w:szCs w:val="21"/>
              </w:rPr>
              <w:t>精神病与精神卫生学（2）</w:t>
            </w:r>
          </w:p>
        </w:tc>
        <w:tc>
          <w:tcPr>
            <w:tcW w:w="2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2</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152103</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ascii="宋体" w:hAnsi="宋体"/>
                <w:szCs w:val="21"/>
              </w:rPr>
              <w:t>CLIM7109</w:t>
            </w:r>
            <w:r>
              <w:rPr>
                <w:rFonts w:hint="eastAsia" w:ascii="宋体" w:hAnsi="宋体"/>
                <w:szCs w:val="21"/>
              </w:rPr>
              <w:t>15</w:t>
            </w:r>
          </w:p>
        </w:tc>
        <w:tc>
          <w:tcPr>
            <w:tcW w:w="17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Cs w:val="21"/>
              </w:rPr>
            </w:pPr>
            <w:r>
              <w:rPr>
                <w:szCs w:val="21"/>
              </w:rPr>
              <w:t>皮肤病与性病学（2）</w:t>
            </w:r>
          </w:p>
        </w:tc>
        <w:tc>
          <w:tcPr>
            <w:tcW w:w="2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2</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152114</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ascii="宋体" w:hAnsi="宋体"/>
                <w:szCs w:val="21"/>
              </w:rPr>
              <w:t>CLIM7116</w:t>
            </w:r>
            <w:r>
              <w:rPr>
                <w:rFonts w:hint="eastAsia" w:ascii="宋体" w:hAnsi="宋体"/>
                <w:szCs w:val="21"/>
              </w:rPr>
              <w:t>15</w:t>
            </w:r>
          </w:p>
        </w:tc>
        <w:tc>
          <w:tcPr>
            <w:tcW w:w="17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Cs w:val="21"/>
              </w:rPr>
            </w:pPr>
            <w:r>
              <w:rPr>
                <w:szCs w:val="21"/>
              </w:rPr>
              <w:t>临床检验诊断学（2）</w:t>
            </w:r>
          </w:p>
        </w:tc>
        <w:tc>
          <w:tcPr>
            <w:tcW w:w="2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2</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152106</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ascii="宋体" w:hAnsi="宋体"/>
                <w:szCs w:val="21"/>
              </w:rPr>
              <w:t>CLIM7112</w:t>
            </w:r>
            <w:r>
              <w:rPr>
                <w:rFonts w:hint="eastAsia" w:ascii="宋体" w:hAnsi="宋体"/>
                <w:szCs w:val="21"/>
              </w:rPr>
              <w:t>15</w:t>
            </w:r>
          </w:p>
        </w:tc>
        <w:tc>
          <w:tcPr>
            <w:tcW w:w="17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Cs w:val="21"/>
              </w:rPr>
            </w:pPr>
            <w:r>
              <w:rPr>
                <w:szCs w:val="21"/>
              </w:rPr>
              <w:t>外科学（2）</w:t>
            </w:r>
          </w:p>
        </w:tc>
        <w:tc>
          <w:tcPr>
            <w:tcW w:w="2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2</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152101</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ascii="宋体" w:hAnsi="宋体"/>
                <w:szCs w:val="21"/>
              </w:rPr>
              <w:t>CLIM7107</w:t>
            </w:r>
            <w:r>
              <w:rPr>
                <w:rFonts w:hint="eastAsia" w:ascii="宋体" w:hAnsi="宋体"/>
                <w:szCs w:val="21"/>
              </w:rPr>
              <w:t>15</w:t>
            </w:r>
          </w:p>
        </w:tc>
        <w:tc>
          <w:tcPr>
            <w:tcW w:w="17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Cs w:val="21"/>
              </w:rPr>
            </w:pPr>
            <w:r>
              <w:rPr>
                <w:szCs w:val="21"/>
              </w:rPr>
              <w:t>妇产科学（2）</w:t>
            </w:r>
          </w:p>
        </w:tc>
        <w:tc>
          <w:tcPr>
            <w:tcW w:w="2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2</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152099</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ascii="宋体" w:hAnsi="宋体"/>
                <w:szCs w:val="21"/>
              </w:rPr>
              <w:t>CLIM7105</w:t>
            </w:r>
            <w:r>
              <w:rPr>
                <w:rFonts w:hint="eastAsia" w:ascii="宋体" w:hAnsi="宋体"/>
                <w:szCs w:val="21"/>
              </w:rPr>
              <w:t>15</w:t>
            </w:r>
          </w:p>
        </w:tc>
        <w:tc>
          <w:tcPr>
            <w:tcW w:w="17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Cs w:val="21"/>
              </w:rPr>
            </w:pPr>
            <w:r>
              <w:rPr>
                <w:szCs w:val="21"/>
              </w:rPr>
              <w:t>眼科学（2）</w:t>
            </w:r>
          </w:p>
        </w:tc>
        <w:tc>
          <w:tcPr>
            <w:tcW w:w="2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2</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152097</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ascii="宋体" w:hAnsi="宋体"/>
                <w:szCs w:val="21"/>
              </w:rPr>
              <w:t>CLIM7103</w:t>
            </w:r>
            <w:r>
              <w:rPr>
                <w:rFonts w:hint="eastAsia" w:ascii="宋体" w:hAnsi="宋体"/>
                <w:szCs w:val="21"/>
              </w:rPr>
              <w:t>15</w:t>
            </w:r>
          </w:p>
        </w:tc>
        <w:tc>
          <w:tcPr>
            <w:tcW w:w="17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Cs w:val="21"/>
              </w:rPr>
            </w:pPr>
            <w:r>
              <w:rPr>
                <w:szCs w:val="21"/>
              </w:rPr>
              <w:t>耳鼻咽喉科学（2）</w:t>
            </w:r>
          </w:p>
        </w:tc>
        <w:tc>
          <w:tcPr>
            <w:tcW w:w="2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2</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152098</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ascii="宋体" w:hAnsi="宋体"/>
                <w:szCs w:val="21"/>
              </w:rPr>
              <w:t>CLIM7104</w:t>
            </w:r>
            <w:r>
              <w:rPr>
                <w:rFonts w:hint="eastAsia" w:ascii="宋体" w:hAnsi="宋体"/>
                <w:szCs w:val="21"/>
              </w:rPr>
              <w:t>15</w:t>
            </w:r>
          </w:p>
        </w:tc>
        <w:tc>
          <w:tcPr>
            <w:tcW w:w="17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Cs w:val="21"/>
              </w:rPr>
            </w:pPr>
            <w:r>
              <w:rPr>
                <w:szCs w:val="21"/>
              </w:rPr>
              <w:t>肿瘤学（2）</w:t>
            </w:r>
          </w:p>
        </w:tc>
        <w:tc>
          <w:tcPr>
            <w:tcW w:w="2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2</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152163</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ascii="宋体" w:hAnsi="宋体"/>
                <w:szCs w:val="21"/>
              </w:rPr>
              <w:t>CLIM7118</w:t>
            </w:r>
            <w:r>
              <w:rPr>
                <w:rFonts w:hint="eastAsia" w:ascii="宋体" w:hAnsi="宋体"/>
                <w:szCs w:val="21"/>
              </w:rPr>
              <w:t>15</w:t>
            </w:r>
          </w:p>
        </w:tc>
        <w:tc>
          <w:tcPr>
            <w:tcW w:w="17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Cs w:val="21"/>
              </w:rPr>
            </w:pPr>
            <w:r>
              <w:rPr>
                <w:szCs w:val="21"/>
              </w:rPr>
              <w:t>康复医学与理疗学（2）</w:t>
            </w:r>
          </w:p>
        </w:tc>
        <w:tc>
          <w:tcPr>
            <w:tcW w:w="2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2</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152100</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ascii="宋体" w:hAnsi="宋体"/>
                <w:szCs w:val="21"/>
              </w:rPr>
              <w:t>CLIM7106</w:t>
            </w:r>
            <w:r>
              <w:rPr>
                <w:rFonts w:hint="eastAsia" w:ascii="宋体" w:hAnsi="宋体"/>
                <w:szCs w:val="21"/>
              </w:rPr>
              <w:t>15</w:t>
            </w:r>
          </w:p>
        </w:tc>
        <w:tc>
          <w:tcPr>
            <w:tcW w:w="17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Cs w:val="21"/>
              </w:rPr>
            </w:pPr>
            <w:r>
              <w:rPr>
                <w:szCs w:val="21"/>
              </w:rPr>
              <w:t>麻醉学（2）</w:t>
            </w:r>
          </w:p>
        </w:tc>
        <w:tc>
          <w:tcPr>
            <w:tcW w:w="2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2</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152113</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ascii="宋体" w:hAnsi="宋体"/>
                <w:szCs w:val="21"/>
              </w:rPr>
              <w:t>CLIM7115</w:t>
            </w:r>
            <w:r>
              <w:rPr>
                <w:rFonts w:hint="eastAsia" w:ascii="宋体" w:hAnsi="宋体"/>
                <w:szCs w:val="21"/>
              </w:rPr>
              <w:t>15</w:t>
            </w:r>
          </w:p>
        </w:tc>
        <w:tc>
          <w:tcPr>
            <w:tcW w:w="17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Cs w:val="21"/>
              </w:rPr>
            </w:pPr>
            <w:r>
              <w:rPr>
                <w:szCs w:val="21"/>
              </w:rPr>
              <w:t>急诊医学（2）</w:t>
            </w:r>
          </w:p>
        </w:tc>
        <w:tc>
          <w:tcPr>
            <w:tcW w:w="2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2</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152169</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ascii="宋体" w:hAnsi="宋体"/>
                <w:szCs w:val="21"/>
              </w:rPr>
              <w:t>CLIM7120</w:t>
            </w:r>
            <w:r>
              <w:rPr>
                <w:rFonts w:hint="eastAsia" w:ascii="宋体" w:hAnsi="宋体"/>
                <w:szCs w:val="21"/>
              </w:rPr>
              <w:t>15</w:t>
            </w:r>
          </w:p>
        </w:tc>
        <w:tc>
          <w:tcPr>
            <w:tcW w:w="17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Cs w:val="21"/>
              </w:rPr>
            </w:pPr>
            <w:r>
              <w:rPr>
                <w:szCs w:val="21"/>
              </w:rPr>
              <w:t>全科医学（2）</w:t>
            </w:r>
          </w:p>
        </w:tc>
        <w:tc>
          <w:tcPr>
            <w:tcW w:w="2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2</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152170</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ascii="宋体" w:hAnsi="宋体"/>
                <w:szCs w:val="21"/>
              </w:rPr>
              <w:t>CLIM7121</w:t>
            </w:r>
            <w:r>
              <w:rPr>
                <w:rFonts w:hint="eastAsia" w:ascii="宋体" w:hAnsi="宋体"/>
                <w:szCs w:val="21"/>
              </w:rPr>
              <w:t>15</w:t>
            </w:r>
          </w:p>
        </w:tc>
        <w:tc>
          <w:tcPr>
            <w:tcW w:w="17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Cs w:val="21"/>
              </w:rPr>
            </w:pPr>
            <w:r>
              <w:rPr>
                <w:szCs w:val="21"/>
              </w:rPr>
              <w:t>临床病理学（2）</w:t>
            </w:r>
          </w:p>
        </w:tc>
        <w:tc>
          <w:tcPr>
            <w:tcW w:w="2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2</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szCs w:val="21"/>
              </w:rPr>
              <w:t>153042</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ascii="宋体" w:hAnsi="宋体"/>
                <w:szCs w:val="21"/>
              </w:rPr>
              <w:t>CLIM7129</w:t>
            </w:r>
            <w:r>
              <w:rPr>
                <w:rFonts w:hint="eastAsia" w:ascii="宋体" w:hAnsi="宋体"/>
                <w:szCs w:val="21"/>
              </w:rPr>
              <w:t>15</w:t>
            </w:r>
          </w:p>
        </w:tc>
        <w:tc>
          <w:tcPr>
            <w:tcW w:w="17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Cs w:val="21"/>
              </w:rPr>
            </w:pPr>
            <w:r>
              <w:rPr>
                <w:rFonts w:hint="eastAsia"/>
                <w:szCs w:val="21"/>
              </w:rPr>
              <w:t>重症</w:t>
            </w:r>
            <w:r>
              <w:rPr>
                <w:szCs w:val="21"/>
              </w:rPr>
              <w:t>医学（2）</w:t>
            </w:r>
          </w:p>
        </w:tc>
        <w:tc>
          <w:tcPr>
            <w:tcW w:w="2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rFonts w:hint="eastAsia"/>
                <w:szCs w:val="21"/>
              </w:rPr>
              <w:t>2</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szCs w:val="21"/>
              </w:rPr>
              <w:t>153040</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ascii="宋体" w:hAnsi="宋体"/>
                <w:szCs w:val="21"/>
              </w:rPr>
              <w:t>CLIM7127</w:t>
            </w:r>
            <w:r>
              <w:rPr>
                <w:rFonts w:hint="eastAsia" w:ascii="宋体" w:hAnsi="宋体"/>
                <w:szCs w:val="21"/>
              </w:rPr>
              <w:t>15</w:t>
            </w:r>
          </w:p>
        </w:tc>
        <w:tc>
          <w:tcPr>
            <w:tcW w:w="17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Cs w:val="21"/>
              </w:rPr>
            </w:pPr>
            <w:r>
              <w:rPr>
                <w:rFonts w:hint="eastAsia"/>
                <w:szCs w:val="21"/>
              </w:rPr>
              <w:t>儿</w:t>
            </w:r>
            <w:r>
              <w:rPr>
                <w:szCs w:val="21"/>
              </w:rPr>
              <w:t>外科学（2）</w:t>
            </w:r>
          </w:p>
        </w:tc>
        <w:tc>
          <w:tcPr>
            <w:tcW w:w="2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rFonts w:hint="eastAsia"/>
                <w:szCs w:val="21"/>
              </w:rPr>
              <w:t>2</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szCs w:val="21"/>
              </w:rPr>
              <w:t>152041</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宋体" w:hAnsi="宋体"/>
                <w:szCs w:val="21"/>
              </w:rPr>
            </w:pPr>
            <w:r>
              <w:rPr>
                <w:rFonts w:ascii="宋体" w:hAnsi="宋体"/>
                <w:szCs w:val="21"/>
              </w:rPr>
              <w:t>CLIM7128</w:t>
            </w:r>
            <w:r>
              <w:rPr>
                <w:rFonts w:hint="eastAsia" w:ascii="宋体" w:hAnsi="宋体"/>
                <w:szCs w:val="21"/>
              </w:rPr>
              <w:t>15</w:t>
            </w:r>
          </w:p>
        </w:tc>
        <w:tc>
          <w:tcPr>
            <w:tcW w:w="17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Cs w:val="21"/>
              </w:rPr>
            </w:pPr>
            <w:r>
              <w:rPr>
                <w:rFonts w:hint="eastAsia"/>
                <w:szCs w:val="21"/>
              </w:rPr>
              <w:t>骨科学</w:t>
            </w:r>
            <w:r>
              <w:rPr>
                <w:szCs w:val="21"/>
              </w:rPr>
              <w:t>（2）</w:t>
            </w:r>
          </w:p>
        </w:tc>
        <w:tc>
          <w:tcPr>
            <w:tcW w:w="2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2</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i/>
                <w:szCs w:val="21"/>
              </w:rPr>
            </w:pPr>
          </w:p>
        </w:tc>
        <w:tc>
          <w:tcPr>
            <w:tcW w:w="62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i/>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szCs w:val="21"/>
              </w:rPr>
              <w:t>153039</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ascii="宋体" w:hAnsi="宋体"/>
                <w:szCs w:val="21"/>
              </w:rPr>
              <w:t>CLIM7126</w:t>
            </w:r>
            <w:r>
              <w:rPr>
                <w:rFonts w:hint="eastAsia" w:ascii="宋体" w:hAnsi="宋体"/>
                <w:szCs w:val="21"/>
              </w:rPr>
              <w:t>15</w:t>
            </w:r>
          </w:p>
        </w:tc>
        <w:tc>
          <w:tcPr>
            <w:tcW w:w="17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Cs w:val="21"/>
              </w:rPr>
            </w:pPr>
            <w:r>
              <w:rPr>
                <w:rFonts w:hint="eastAsia"/>
                <w:szCs w:val="21"/>
              </w:rPr>
              <w:t>放射</w:t>
            </w:r>
            <w:r>
              <w:rPr>
                <w:szCs w:val="21"/>
              </w:rPr>
              <w:t>肿瘤学（2）</w:t>
            </w:r>
          </w:p>
        </w:tc>
        <w:tc>
          <w:tcPr>
            <w:tcW w:w="2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rFonts w:hint="eastAsia"/>
                <w:szCs w:val="21"/>
              </w:rPr>
              <w:t>2</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szCs w:val="21"/>
              </w:rPr>
              <w:t>153036</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ascii="宋体" w:hAnsi="宋体"/>
                <w:szCs w:val="21"/>
              </w:rPr>
              <w:t>CLIM7123</w:t>
            </w:r>
            <w:r>
              <w:rPr>
                <w:rFonts w:hint="eastAsia" w:ascii="宋体" w:hAnsi="宋体"/>
                <w:szCs w:val="21"/>
              </w:rPr>
              <w:t>15</w:t>
            </w:r>
          </w:p>
        </w:tc>
        <w:tc>
          <w:tcPr>
            <w:tcW w:w="17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Cs w:val="21"/>
              </w:rPr>
            </w:pPr>
            <w:r>
              <w:rPr>
                <w:rFonts w:hint="eastAsia"/>
                <w:szCs w:val="21"/>
              </w:rPr>
              <w:t>放射</w:t>
            </w:r>
            <w:r>
              <w:rPr>
                <w:szCs w:val="21"/>
              </w:rPr>
              <w:t>影像学（2）</w:t>
            </w:r>
          </w:p>
        </w:tc>
        <w:tc>
          <w:tcPr>
            <w:tcW w:w="2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rFonts w:hint="eastAsia"/>
                <w:szCs w:val="21"/>
              </w:rPr>
              <w:t>2</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szCs w:val="21"/>
              </w:rPr>
              <w:t>153038</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ascii="宋体" w:hAnsi="宋体"/>
                <w:szCs w:val="21"/>
              </w:rPr>
              <w:t>CLIM7125</w:t>
            </w:r>
            <w:r>
              <w:rPr>
                <w:rFonts w:hint="eastAsia" w:ascii="宋体" w:hAnsi="宋体"/>
                <w:szCs w:val="21"/>
              </w:rPr>
              <w:t>15</w:t>
            </w:r>
          </w:p>
        </w:tc>
        <w:tc>
          <w:tcPr>
            <w:tcW w:w="17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Cs w:val="21"/>
              </w:rPr>
            </w:pPr>
            <w:r>
              <w:rPr>
                <w:rFonts w:hint="eastAsia"/>
                <w:szCs w:val="21"/>
              </w:rPr>
              <w:t>超声</w:t>
            </w:r>
            <w:r>
              <w:rPr>
                <w:szCs w:val="21"/>
              </w:rPr>
              <w:t>医学（2）</w:t>
            </w:r>
          </w:p>
        </w:tc>
        <w:tc>
          <w:tcPr>
            <w:tcW w:w="2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rFonts w:hint="eastAsia"/>
                <w:szCs w:val="21"/>
              </w:rPr>
              <w:t>2</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szCs w:val="21"/>
              </w:rPr>
              <w:t>153037</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ascii="宋体" w:hAnsi="宋体"/>
                <w:szCs w:val="21"/>
              </w:rPr>
              <w:t>CLIM7124</w:t>
            </w:r>
            <w:r>
              <w:rPr>
                <w:rFonts w:hint="eastAsia" w:ascii="宋体" w:hAnsi="宋体"/>
                <w:szCs w:val="21"/>
              </w:rPr>
              <w:t>15</w:t>
            </w:r>
          </w:p>
        </w:tc>
        <w:tc>
          <w:tcPr>
            <w:tcW w:w="17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Cs w:val="21"/>
              </w:rPr>
            </w:pPr>
            <w:r>
              <w:rPr>
                <w:rFonts w:hint="eastAsia"/>
                <w:szCs w:val="21"/>
              </w:rPr>
              <w:t>核医学</w:t>
            </w:r>
            <w:r>
              <w:rPr>
                <w:szCs w:val="21"/>
              </w:rPr>
              <w:t>（2）</w:t>
            </w:r>
          </w:p>
        </w:tc>
        <w:tc>
          <w:tcPr>
            <w:tcW w:w="2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rFonts w:hint="eastAsia"/>
                <w:szCs w:val="21"/>
              </w:rPr>
              <w:t>2</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临床实践</w:t>
            </w:r>
          </w:p>
        </w:tc>
        <w:tc>
          <w:tcPr>
            <w:tcW w:w="674"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152080</w:t>
            </w:r>
          </w:p>
        </w:tc>
        <w:tc>
          <w:tcPr>
            <w:tcW w:w="841"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ascii="宋体" w:hAnsi="宋体"/>
                <w:szCs w:val="21"/>
              </w:rPr>
              <w:t>CLIM7501</w:t>
            </w:r>
            <w:r>
              <w:rPr>
                <w:rFonts w:hint="eastAsia" w:ascii="宋体" w:hAnsi="宋体"/>
                <w:szCs w:val="21"/>
              </w:rPr>
              <w:t>15</w:t>
            </w:r>
          </w:p>
        </w:tc>
        <w:tc>
          <w:tcPr>
            <w:tcW w:w="1777"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Cs w:val="21"/>
              </w:rPr>
            </w:pPr>
            <w:r>
              <w:rPr>
                <w:szCs w:val="21"/>
              </w:rPr>
              <w:t>临床技能（2）</w:t>
            </w:r>
          </w:p>
        </w:tc>
        <w:tc>
          <w:tcPr>
            <w:tcW w:w="258" w:type="pc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rFonts w:hint="eastAsia"/>
                <w:szCs w:val="21"/>
              </w:rPr>
              <w:t>10</w:t>
            </w:r>
          </w:p>
        </w:tc>
        <w:tc>
          <w:tcPr>
            <w:tcW w:w="490" w:type="pct"/>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1</w:t>
            </w:r>
            <w:r>
              <w:rPr>
                <w:rFonts w:hint="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152081</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ascii="宋体" w:hAnsi="宋体"/>
                <w:szCs w:val="21"/>
              </w:rPr>
              <w:t>CLIM7502</w:t>
            </w:r>
            <w:r>
              <w:rPr>
                <w:rFonts w:hint="eastAsia" w:ascii="宋体" w:hAnsi="宋体"/>
                <w:szCs w:val="21"/>
              </w:rPr>
              <w:t>15</w:t>
            </w:r>
          </w:p>
        </w:tc>
        <w:tc>
          <w:tcPr>
            <w:tcW w:w="17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szCs w:val="21"/>
              </w:rPr>
            </w:pPr>
            <w:r>
              <w:rPr>
                <w:szCs w:val="21"/>
              </w:rPr>
              <w:t>临床思维能力（2）</w:t>
            </w:r>
          </w:p>
        </w:tc>
        <w:tc>
          <w:tcPr>
            <w:tcW w:w="2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8</w:t>
            </w:r>
          </w:p>
        </w:tc>
        <w:tc>
          <w:tcPr>
            <w:tcW w:w="490"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必修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szCs w:val="21"/>
              </w:rPr>
              <w:t>环节</w:t>
            </w:r>
          </w:p>
        </w:tc>
        <w:tc>
          <w:tcPr>
            <w:tcW w:w="627"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ascii="宋体" w:hAnsi="宋体"/>
                <w:szCs w:val="21"/>
              </w:rPr>
              <w:t>/</w:t>
            </w:r>
          </w:p>
        </w:tc>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001997</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ascii="宋体" w:hAnsi="宋体"/>
                <w:szCs w:val="21"/>
              </w:rPr>
              <w:t>BXHJ6003</w:t>
            </w:r>
            <w:r>
              <w:rPr>
                <w:rFonts w:hint="eastAsia" w:ascii="宋体" w:hAnsi="宋体"/>
                <w:szCs w:val="21"/>
              </w:rPr>
              <w:t>99</w:t>
            </w:r>
          </w:p>
        </w:tc>
        <w:tc>
          <w:tcPr>
            <w:tcW w:w="17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360"/>
              </w:tabs>
              <w:kinsoku/>
              <w:wordWrap/>
              <w:overflowPunct/>
              <w:topLinePunct w:val="0"/>
              <w:autoSpaceDE/>
              <w:autoSpaceDN/>
              <w:bidi w:val="0"/>
              <w:adjustRightInd/>
              <w:snapToGrid/>
              <w:spacing w:line="240" w:lineRule="auto"/>
              <w:ind w:firstLine="0" w:firstLineChars="0"/>
              <w:textAlignment w:val="auto"/>
              <w:rPr>
                <w:szCs w:val="21"/>
              </w:rPr>
            </w:pPr>
            <w:r>
              <w:rPr>
                <w:szCs w:val="21"/>
              </w:rPr>
              <w:t>学术活动（讲座）硕</w:t>
            </w:r>
          </w:p>
        </w:tc>
        <w:tc>
          <w:tcPr>
            <w:tcW w:w="2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42" w:rightChars="-20" w:firstLine="0" w:firstLineChars="0"/>
              <w:jc w:val="center"/>
              <w:textAlignment w:val="auto"/>
              <w:rPr>
                <w:szCs w:val="21"/>
              </w:rPr>
            </w:pPr>
            <w:r>
              <w:rPr>
                <w:szCs w:val="21"/>
              </w:rPr>
              <w:t>1</w:t>
            </w:r>
          </w:p>
        </w:tc>
        <w:tc>
          <w:tcPr>
            <w:tcW w:w="490"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7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001983</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ascii="宋体" w:hAnsi="宋体"/>
                <w:szCs w:val="21"/>
              </w:rPr>
              <w:t>BXHJ6007</w:t>
            </w:r>
            <w:r>
              <w:rPr>
                <w:rFonts w:hint="eastAsia" w:ascii="宋体" w:hAnsi="宋体"/>
                <w:szCs w:val="21"/>
              </w:rPr>
              <w:t>99</w:t>
            </w:r>
          </w:p>
        </w:tc>
        <w:tc>
          <w:tcPr>
            <w:tcW w:w="17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360"/>
              </w:tabs>
              <w:kinsoku/>
              <w:wordWrap/>
              <w:overflowPunct/>
              <w:topLinePunct w:val="0"/>
              <w:autoSpaceDE/>
              <w:autoSpaceDN/>
              <w:bidi w:val="0"/>
              <w:adjustRightInd/>
              <w:snapToGrid/>
              <w:spacing w:line="240" w:lineRule="auto"/>
              <w:ind w:firstLine="0" w:firstLineChars="0"/>
              <w:textAlignment w:val="auto"/>
              <w:rPr>
                <w:szCs w:val="21"/>
              </w:rPr>
            </w:pPr>
            <w:r>
              <w:rPr>
                <w:szCs w:val="21"/>
              </w:rPr>
              <w:t>中期考核（硕）</w:t>
            </w:r>
          </w:p>
        </w:tc>
        <w:tc>
          <w:tcPr>
            <w:tcW w:w="2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42" w:rightChars="-20" w:firstLine="0" w:firstLineChars="0"/>
              <w:jc w:val="center"/>
              <w:textAlignment w:val="auto"/>
              <w:rPr>
                <w:szCs w:val="21"/>
              </w:rPr>
            </w:pPr>
            <w:r>
              <w:rPr>
                <w:szCs w:val="21"/>
              </w:rPr>
              <w:t>3</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7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szCs w:val="21"/>
              </w:rPr>
            </w:pPr>
            <w:r>
              <w:rPr>
                <w:rFonts w:hint="eastAsia"/>
                <w:kern w:val="0"/>
                <w:szCs w:val="21"/>
              </w:rPr>
              <w:t>001954</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szCs w:val="21"/>
              </w:rPr>
            </w:pPr>
            <w:r>
              <w:rPr>
                <w:rFonts w:hint="eastAsia" w:ascii="宋体" w:hAnsi="宋体"/>
                <w:szCs w:val="21"/>
              </w:rPr>
              <w:t>B</w:t>
            </w:r>
            <w:r>
              <w:rPr>
                <w:rFonts w:ascii="宋体" w:hAnsi="宋体"/>
                <w:szCs w:val="21"/>
              </w:rPr>
              <w:t>XHJ602499</w:t>
            </w:r>
          </w:p>
        </w:tc>
        <w:tc>
          <w:tcPr>
            <w:tcW w:w="17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360"/>
              </w:tabs>
              <w:kinsoku/>
              <w:wordWrap/>
              <w:overflowPunct/>
              <w:topLinePunct w:val="0"/>
              <w:autoSpaceDE/>
              <w:autoSpaceDN/>
              <w:bidi w:val="0"/>
              <w:adjustRightInd/>
              <w:snapToGrid/>
              <w:spacing w:line="240" w:lineRule="auto"/>
              <w:ind w:firstLine="0" w:firstLineChars="0"/>
              <w:textAlignment w:val="auto"/>
              <w:rPr>
                <w:rFonts w:ascii="宋体" w:hAnsi="宋体"/>
                <w:szCs w:val="21"/>
              </w:rPr>
            </w:pPr>
            <w:r>
              <w:rPr>
                <w:rFonts w:hint="eastAsia" w:ascii="宋体" w:hAnsi="宋体"/>
                <w:szCs w:val="21"/>
              </w:rPr>
              <w:t>劳动教育</w:t>
            </w:r>
          </w:p>
        </w:tc>
        <w:tc>
          <w:tcPr>
            <w:tcW w:w="2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42" w:rightChars="-20" w:firstLine="0" w:firstLineChars="0"/>
              <w:jc w:val="center"/>
              <w:textAlignment w:val="auto"/>
              <w:rPr>
                <w:szCs w:val="21"/>
              </w:rPr>
            </w:pPr>
            <w:r>
              <w:rPr>
                <w:rFonts w:hint="eastAsia"/>
                <w:kern w:val="0"/>
                <w:szCs w:val="21"/>
              </w:rPr>
              <w:t>0</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szCs w:val="21"/>
              </w:rPr>
            </w:pPr>
          </w:p>
        </w:tc>
        <w:tc>
          <w:tcPr>
            <w:tcW w:w="67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kern w:val="0"/>
                <w:szCs w:val="21"/>
              </w:rPr>
            </w:pPr>
            <w:r>
              <w:rPr>
                <w:rFonts w:hint="eastAsia"/>
                <w:kern w:val="0"/>
                <w:szCs w:val="21"/>
              </w:rPr>
              <w:t>001955</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szCs w:val="21"/>
              </w:rPr>
            </w:pPr>
            <w:r>
              <w:rPr>
                <w:rFonts w:hint="eastAsia" w:ascii="宋体" w:hAnsi="宋体"/>
                <w:szCs w:val="21"/>
              </w:rPr>
              <w:t>B</w:t>
            </w:r>
            <w:r>
              <w:rPr>
                <w:rFonts w:ascii="宋体" w:hAnsi="宋体"/>
                <w:szCs w:val="21"/>
              </w:rPr>
              <w:t>XHJ602399</w:t>
            </w:r>
          </w:p>
        </w:tc>
        <w:tc>
          <w:tcPr>
            <w:tcW w:w="17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360"/>
              </w:tabs>
              <w:kinsoku/>
              <w:wordWrap/>
              <w:overflowPunct/>
              <w:topLinePunct w:val="0"/>
              <w:autoSpaceDE/>
              <w:autoSpaceDN/>
              <w:bidi w:val="0"/>
              <w:adjustRightInd/>
              <w:snapToGrid/>
              <w:spacing w:line="240" w:lineRule="auto"/>
              <w:ind w:firstLine="0" w:firstLineChars="0"/>
              <w:textAlignment w:val="auto"/>
              <w:rPr>
                <w:rFonts w:hint="eastAsia" w:ascii="宋体" w:hAnsi="宋体"/>
                <w:szCs w:val="21"/>
              </w:rPr>
            </w:pPr>
            <w:r>
              <w:rPr>
                <w:rFonts w:hint="eastAsia" w:ascii="宋体" w:hAnsi="宋体"/>
                <w:szCs w:val="21"/>
              </w:rPr>
              <w:t>美育</w:t>
            </w:r>
          </w:p>
        </w:tc>
        <w:tc>
          <w:tcPr>
            <w:tcW w:w="2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42" w:rightChars="-20" w:firstLine="0" w:firstLineChars="0"/>
              <w:jc w:val="center"/>
              <w:textAlignment w:val="auto"/>
              <w:rPr>
                <w:rFonts w:hint="eastAsia"/>
                <w:kern w:val="0"/>
                <w:szCs w:val="21"/>
              </w:rPr>
            </w:pPr>
            <w:r>
              <w:rPr>
                <w:rFonts w:hint="eastAsia"/>
                <w:kern w:val="0"/>
                <w:szCs w:val="21"/>
              </w:rPr>
              <w:t>0</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329"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c>
          <w:tcPr>
            <w:tcW w:w="627"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kern w:val="0"/>
                <w:szCs w:val="21"/>
              </w:rPr>
            </w:pPr>
          </w:p>
        </w:tc>
        <w:tc>
          <w:tcPr>
            <w:tcW w:w="67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kern w:val="0"/>
                <w:szCs w:val="21"/>
              </w:rPr>
            </w:pPr>
            <w:r>
              <w:rPr>
                <w:rFonts w:hint="eastAsia"/>
                <w:kern w:val="0"/>
                <w:szCs w:val="21"/>
              </w:rPr>
              <w:t>001956</w:t>
            </w:r>
          </w:p>
        </w:tc>
        <w:tc>
          <w:tcPr>
            <w:tcW w:w="84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szCs w:val="21"/>
              </w:rPr>
            </w:pPr>
            <w:r>
              <w:rPr>
                <w:rFonts w:hint="eastAsia" w:ascii="宋体" w:hAnsi="宋体"/>
                <w:szCs w:val="21"/>
              </w:rPr>
              <w:t>B</w:t>
            </w:r>
            <w:r>
              <w:rPr>
                <w:rFonts w:ascii="宋体" w:hAnsi="宋体"/>
                <w:szCs w:val="21"/>
              </w:rPr>
              <w:t>XHJ602299</w:t>
            </w:r>
          </w:p>
        </w:tc>
        <w:tc>
          <w:tcPr>
            <w:tcW w:w="1777"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360"/>
              </w:tabs>
              <w:kinsoku/>
              <w:wordWrap/>
              <w:overflowPunct/>
              <w:topLinePunct w:val="0"/>
              <w:autoSpaceDE/>
              <w:autoSpaceDN/>
              <w:bidi w:val="0"/>
              <w:adjustRightInd/>
              <w:snapToGrid/>
              <w:spacing w:line="240" w:lineRule="auto"/>
              <w:ind w:firstLine="0" w:firstLineChars="0"/>
              <w:textAlignment w:val="auto"/>
              <w:rPr>
                <w:rFonts w:hint="eastAsia" w:ascii="宋体" w:hAnsi="宋体"/>
                <w:szCs w:val="21"/>
              </w:rPr>
            </w:pPr>
            <w:r>
              <w:rPr>
                <w:rFonts w:hint="eastAsia" w:ascii="宋体" w:hAnsi="宋体"/>
                <w:szCs w:val="21"/>
              </w:rPr>
              <w:t>体育</w:t>
            </w:r>
          </w:p>
        </w:tc>
        <w:tc>
          <w:tcPr>
            <w:tcW w:w="25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42" w:rightChars="-20" w:firstLine="0" w:firstLineChars="0"/>
              <w:jc w:val="center"/>
              <w:textAlignment w:val="auto"/>
              <w:rPr>
                <w:rFonts w:hint="eastAsia"/>
                <w:kern w:val="0"/>
                <w:szCs w:val="21"/>
              </w:rPr>
            </w:pPr>
            <w:r>
              <w:rPr>
                <w:rFonts w:hint="eastAsia"/>
                <w:kern w:val="0"/>
                <w:szCs w:val="21"/>
              </w:rPr>
              <w:t>0</w:t>
            </w:r>
          </w:p>
        </w:tc>
        <w:tc>
          <w:tcPr>
            <w:tcW w:w="490"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szCs w:val="21"/>
              </w:rPr>
            </w:pPr>
          </w:p>
        </w:tc>
      </w:tr>
    </w:tbl>
    <w:p>
      <w:pPr>
        <w:keepNext w:val="0"/>
        <w:keepLines w:val="0"/>
        <w:pageBreakBefore w:val="0"/>
        <w:widowControl w:val="0"/>
        <w:kinsoku/>
        <w:wordWrap/>
        <w:overflowPunct/>
        <w:topLinePunct w:val="0"/>
        <w:autoSpaceDE/>
        <w:autoSpaceDN/>
        <w:bidi w:val="0"/>
        <w:spacing w:before="192" w:beforeLines="80" w:after="120" w:afterLines="50" w:line="300" w:lineRule="auto"/>
        <w:jc w:val="left"/>
        <w:textAlignment w:val="auto"/>
        <w:rPr>
          <w:rFonts w:ascii="黑体" w:hAnsi="黑体" w:eastAsia="黑体"/>
          <w:sz w:val="24"/>
          <w:szCs w:val="24"/>
        </w:rPr>
      </w:pPr>
      <w:r>
        <w:rPr>
          <w:rFonts w:hint="eastAsia" w:ascii="黑体" w:hAnsi="黑体" w:eastAsia="黑体"/>
          <w:sz w:val="24"/>
          <w:szCs w:val="24"/>
        </w:rPr>
        <w:t>六、临床考核</w:t>
      </w:r>
    </w:p>
    <w:p>
      <w:pPr>
        <w:keepNext w:val="0"/>
        <w:keepLines w:val="0"/>
        <w:pageBreakBefore w:val="0"/>
        <w:widowControl w:val="0"/>
        <w:kinsoku/>
        <w:wordWrap/>
        <w:overflowPunct/>
        <w:topLinePunct w:val="0"/>
        <w:autoSpaceDE/>
        <w:autoSpaceDN/>
        <w:bidi w:val="0"/>
        <w:adjustRightInd w:val="0"/>
        <w:spacing w:line="300" w:lineRule="auto"/>
        <w:ind w:firstLine="420" w:firstLineChars="200"/>
        <w:textAlignment w:val="auto"/>
        <w:rPr>
          <w:szCs w:val="21"/>
        </w:rPr>
      </w:pPr>
      <w:r>
        <w:rPr>
          <w:rFonts w:hint="eastAsia" w:hAnsi="宋体"/>
          <w:szCs w:val="21"/>
        </w:rPr>
        <w:t>1</w:t>
      </w:r>
      <w:r>
        <w:rPr>
          <w:bCs/>
          <w:szCs w:val="21"/>
        </w:rPr>
        <w:t>．</w:t>
      </w:r>
      <w:r>
        <w:rPr>
          <w:rFonts w:hAnsi="宋体"/>
          <w:szCs w:val="21"/>
        </w:rPr>
        <w:t>轮转考核：研究生应根据本专业培养方案的转科规定，完成其工作量和质量要求</w:t>
      </w:r>
      <w:r>
        <w:rPr>
          <w:rFonts w:hint="eastAsia" w:hAnsi="宋体"/>
          <w:szCs w:val="21"/>
        </w:rPr>
        <w:t>，</w:t>
      </w:r>
      <w:r>
        <w:rPr>
          <w:rFonts w:hAnsi="宋体"/>
          <w:szCs w:val="21"/>
        </w:rPr>
        <w:t>每轮</w:t>
      </w:r>
      <w:r>
        <w:rPr>
          <w:rFonts w:hint="eastAsia" w:hAnsi="宋体"/>
          <w:szCs w:val="21"/>
        </w:rPr>
        <w:t>转</w:t>
      </w:r>
      <w:r>
        <w:rPr>
          <w:rFonts w:hAnsi="宋体"/>
          <w:szCs w:val="21"/>
        </w:rPr>
        <w:t>完一个科室，出科时必须进行转科考核，考核不合格者应适当</w:t>
      </w:r>
      <w:r>
        <w:rPr>
          <w:rFonts w:hint="eastAsia" w:hAnsi="宋体"/>
          <w:szCs w:val="21"/>
        </w:rPr>
        <w:t>延</w:t>
      </w:r>
      <w:r>
        <w:rPr>
          <w:rFonts w:hAnsi="宋体"/>
          <w:szCs w:val="21"/>
        </w:rPr>
        <w:t>长转科时间，并进行补考。转科总平均成绩</w:t>
      </w:r>
      <w:r>
        <w:rPr>
          <w:szCs w:val="21"/>
        </w:rPr>
        <w:t>≥70</w:t>
      </w:r>
      <w:r>
        <w:rPr>
          <w:rFonts w:hAnsi="宋体"/>
          <w:szCs w:val="21"/>
        </w:rPr>
        <w:t>分为合格，转科成绩不合格者不能参加阶段考核。</w:t>
      </w:r>
    </w:p>
    <w:p>
      <w:pPr>
        <w:keepNext w:val="0"/>
        <w:keepLines w:val="0"/>
        <w:pageBreakBefore w:val="0"/>
        <w:widowControl w:val="0"/>
        <w:kinsoku/>
        <w:wordWrap/>
        <w:overflowPunct/>
        <w:topLinePunct w:val="0"/>
        <w:autoSpaceDE/>
        <w:autoSpaceDN/>
        <w:bidi w:val="0"/>
        <w:adjustRightInd w:val="0"/>
        <w:spacing w:line="300" w:lineRule="auto"/>
        <w:ind w:firstLine="420" w:firstLineChars="200"/>
        <w:jc w:val="left"/>
        <w:textAlignment w:val="auto"/>
        <w:rPr>
          <w:snapToGrid w:val="0"/>
          <w:kern w:val="0"/>
          <w:szCs w:val="21"/>
          <w:lang w:val="zh-CN"/>
        </w:rPr>
      </w:pPr>
      <w:r>
        <w:rPr>
          <w:rFonts w:hint="eastAsia" w:hAnsi="宋体"/>
          <w:snapToGrid w:val="0"/>
          <w:kern w:val="0"/>
          <w:szCs w:val="21"/>
          <w:lang w:val="zh-CN"/>
        </w:rPr>
        <w:t>2</w:t>
      </w:r>
      <w:r>
        <w:rPr>
          <w:bCs/>
          <w:snapToGrid w:val="0"/>
          <w:kern w:val="0"/>
          <w:szCs w:val="21"/>
          <w:lang w:val="zh-CN"/>
        </w:rPr>
        <w:t>．</w:t>
      </w:r>
      <w:r>
        <w:rPr>
          <w:rFonts w:hAnsi="宋体"/>
          <w:snapToGrid w:val="0"/>
          <w:kern w:val="0"/>
          <w:szCs w:val="21"/>
          <w:lang w:val="zh-CN"/>
        </w:rPr>
        <w:t>阶段</w:t>
      </w:r>
      <w:r>
        <w:rPr>
          <w:rFonts w:hint="eastAsia" w:hAnsi="宋体"/>
          <w:snapToGrid w:val="0"/>
          <w:kern w:val="0"/>
          <w:szCs w:val="21"/>
          <w:lang w:val="zh-CN"/>
        </w:rPr>
        <w:t>（结业）</w:t>
      </w:r>
      <w:r>
        <w:rPr>
          <w:rFonts w:hAnsi="宋体"/>
          <w:snapToGrid w:val="0"/>
          <w:kern w:val="0"/>
          <w:szCs w:val="21"/>
          <w:lang w:val="zh-CN"/>
        </w:rPr>
        <w:t>考核：临床医学硕士专业学位研究生的毕业考核与阶段考核合二为一，考核内容包括：专业课、专业外语、临床能力考核，其中临床能力考核主要考核研究生是否具有规范的临床技能操作和独立处理本学科常见病的能力。考核方式：由学校按学科专业组成考核委员会进行考核，考核时间在研究生入学后第</w:t>
      </w:r>
      <w:r>
        <w:rPr>
          <w:rFonts w:hint="eastAsia" w:hAnsi="宋体"/>
          <w:snapToGrid w:val="0"/>
          <w:kern w:val="0"/>
          <w:szCs w:val="21"/>
          <w:lang w:val="zh-CN"/>
        </w:rPr>
        <w:t>三</w:t>
      </w:r>
      <w:r>
        <w:rPr>
          <w:rFonts w:hAnsi="宋体"/>
          <w:snapToGrid w:val="0"/>
          <w:kern w:val="0"/>
          <w:szCs w:val="21"/>
          <w:lang w:val="zh-CN"/>
        </w:rPr>
        <w:t>学年第一学期末（当年</w:t>
      </w:r>
      <w:r>
        <w:rPr>
          <w:snapToGrid w:val="0"/>
          <w:kern w:val="0"/>
          <w:szCs w:val="21"/>
          <w:lang w:val="zh-CN"/>
        </w:rPr>
        <w:t>12</w:t>
      </w:r>
      <w:r>
        <w:rPr>
          <w:rFonts w:hAnsi="宋体"/>
          <w:snapToGrid w:val="0"/>
          <w:kern w:val="0"/>
          <w:szCs w:val="21"/>
          <w:lang w:val="zh-CN"/>
        </w:rPr>
        <w:t>月）。</w:t>
      </w:r>
    </w:p>
    <w:p>
      <w:pPr>
        <w:keepNext w:val="0"/>
        <w:keepLines w:val="0"/>
        <w:pageBreakBefore w:val="0"/>
        <w:widowControl w:val="0"/>
        <w:kinsoku/>
        <w:wordWrap/>
        <w:overflowPunct/>
        <w:topLinePunct w:val="0"/>
        <w:autoSpaceDE/>
        <w:autoSpaceDN/>
        <w:bidi w:val="0"/>
        <w:adjustRightInd w:val="0"/>
        <w:spacing w:line="300" w:lineRule="auto"/>
        <w:ind w:firstLine="420" w:firstLineChars="200"/>
        <w:jc w:val="left"/>
        <w:textAlignment w:val="auto"/>
        <w:rPr>
          <w:rFonts w:hAnsi="宋体"/>
          <w:snapToGrid w:val="0"/>
          <w:kern w:val="0"/>
          <w:szCs w:val="21"/>
          <w:lang w:val="zh-CN"/>
        </w:rPr>
      </w:pPr>
      <w:r>
        <w:rPr>
          <w:rFonts w:hAnsi="宋体"/>
          <w:snapToGrid w:val="0"/>
          <w:kern w:val="0"/>
          <w:szCs w:val="21"/>
          <w:lang w:val="zh-CN"/>
        </w:rPr>
        <w:t>临床医学研究生按照本专业培养方案的要求，完成轮转提交转科表，经审核成绩合格者可进行阶段</w:t>
      </w:r>
      <w:r>
        <w:rPr>
          <w:rFonts w:hint="eastAsia" w:hAnsi="宋体"/>
          <w:snapToGrid w:val="0"/>
          <w:kern w:val="0"/>
          <w:szCs w:val="21"/>
          <w:lang w:val="zh-CN"/>
        </w:rPr>
        <w:t>（结业）</w:t>
      </w:r>
      <w:r>
        <w:rPr>
          <w:rFonts w:hAnsi="宋体"/>
          <w:snapToGrid w:val="0"/>
          <w:kern w:val="0"/>
          <w:szCs w:val="21"/>
          <w:lang w:val="zh-CN"/>
        </w:rPr>
        <w:t>考核。具体考核办法见《西安交通大学临床医学专业学位研究生</w:t>
      </w:r>
      <w:r>
        <w:rPr>
          <w:rFonts w:hint="eastAsia" w:hAnsi="宋体"/>
          <w:snapToGrid w:val="0"/>
          <w:kern w:val="0"/>
          <w:szCs w:val="21"/>
          <w:lang w:val="zh-CN"/>
        </w:rPr>
        <w:t>（住院医师）</w:t>
      </w:r>
      <w:r>
        <w:rPr>
          <w:rFonts w:hAnsi="宋体"/>
          <w:snapToGrid w:val="0"/>
          <w:kern w:val="0"/>
          <w:szCs w:val="21"/>
          <w:lang w:val="zh-CN"/>
        </w:rPr>
        <w:t>临床能力考核及学位论文答辩暂行规定》。</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textAlignment w:val="auto"/>
        <w:rPr>
          <w:rFonts w:hint="eastAsia"/>
          <w:b/>
          <w:bCs/>
          <w:szCs w:val="21"/>
        </w:rPr>
      </w:pPr>
      <w:r>
        <w:rPr>
          <w:rFonts w:hint="eastAsia"/>
          <w:b/>
          <w:bCs/>
          <w:szCs w:val="21"/>
        </w:rPr>
        <w:t>七、体育、美育、劳动教育</w:t>
      </w:r>
    </w:p>
    <w:p>
      <w:pPr>
        <w:pStyle w:val="11"/>
        <w:keepNext w:val="0"/>
        <w:keepLines w:val="0"/>
        <w:pageBreakBefore w:val="0"/>
        <w:widowControl w:val="0"/>
        <w:kinsoku/>
        <w:wordWrap/>
        <w:overflowPunct/>
        <w:topLinePunct w:val="0"/>
        <w:autoSpaceDE/>
        <w:autoSpaceDN/>
        <w:bidi w:val="0"/>
        <w:spacing w:line="300" w:lineRule="auto"/>
        <w:textAlignment w:val="auto"/>
        <w:rPr>
          <w:rFonts w:hint="eastAsia"/>
          <w:sz w:val="21"/>
          <w:szCs w:val="21"/>
        </w:rPr>
      </w:pPr>
      <w:r>
        <w:rPr>
          <w:rFonts w:hint="eastAsia"/>
          <w:sz w:val="21"/>
          <w:szCs w:val="21"/>
        </w:rPr>
        <w:t>研究生依据当年的体育、美育、劳动教育研修指南，结合个人兴趣爱好和培养计划安排，制定个人体育、美育、劳动教育环节研修计划并开展研修，由体育、美育、劳动教育牵头单位对环节是否“通过”给予认定。</w:t>
      </w:r>
    </w:p>
    <w:p>
      <w:pPr>
        <w:pStyle w:val="11"/>
        <w:keepNext w:val="0"/>
        <w:keepLines w:val="0"/>
        <w:pageBreakBefore w:val="0"/>
        <w:widowControl w:val="0"/>
        <w:kinsoku/>
        <w:wordWrap/>
        <w:overflowPunct/>
        <w:topLinePunct w:val="0"/>
        <w:autoSpaceDE/>
        <w:autoSpaceDN/>
        <w:bidi w:val="0"/>
        <w:spacing w:line="300" w:lineRule="auto"/>
        <w:textAlignment w:val="auto"/>
        <w:rPr>
          <w:rFonts w:hint="eastAsia"/>
          <w:lang w:val="zh-CN"/>
        </w:rPr>
      </w:pPr>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r>
        <w:rPr>
          <w:rFonts w:hint="eastAsia" w:ascii="黑体" w:hAnsi="黑体" w:eastAsia="黑体"/>
          <w:sz w:val="24"/>
          <w:szCs w:val="24"/>
        </w:rPr>
        <w:t>八、学位论文</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hAnsi="宋体"/>
          <w:szCs w:val="21"/>
        </w:rPr>
      </w:pPr>
      <w:r>
        <w:rPr>
          <w:rFonts w:hAnsi="宋体"/>
          <w:szCs w:val="21"/>
        </w:rPr>
        <w:t>申请硕士学位者在进行临床能力训练的同时，</w:t>
      </w:r>
      <w:r>
        <w:rPr>
          <w:rFonts w:hint="eastAsia" w:hAnsi="宋体"/>
          <w:szCs w:val="21"/>
        </w:rPr>
        <w:t>需完成</w:t>
      </w:r>
      <w:r>
        <w:rPr>
          <w:rFonts w:hAnsi="宋体"/>
          <w:szCs w:val="21"/>
        </w:rPr>
        <w:t>学位论文</w:t>
      </w:r>
      <w:r>
        <w:rPr>
          <w:rFonts w:hint="eastAsia" w:hAnsi="宋体"/>
          <w:szCs w:val="21"/>
        </w:rPr>
        <w:t>，研究生学位论文选题应当密切结合临床医学实践，体现运用相关学科的理论和方法分析解决医学实际问题的能力，论文</w:t>
      </w:r>
      <w:r>
        <w:rPr>
          <w:rFonts w:hAnsi="宋体"/>
          <w:szCs w:val="21"/>
        </w:rPr>
        <w:t>书写格式见《西安交通大学学位论文规范》</w:t>
      </w:r>
      <w:r>
        <w:rPr>
          <w:rFonts w:hint="eastAsia" w:hAnsi="宋体"/>
          <w:szCs w:val="21"/>
        </w:rPr>
        <w:t>规定</w:t>
      </w:r>
      <w:r>
        <w:rPr>
          <w:rFonts w:hAnsi="宋体"/>
          <w:szCs w:val="21"/>
        </w:rPr>
        <w:t>。</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hAnsi="宋体"/>
          <w:szCs w:val="21"/>
        </w:rPr>
      </w:pPr>
      <w:r>
        <w:rPr>
          <w:rFonts w:hAnsi="宋体"/>
          <w:szCs w:val="21"/>
        </w:rPr>
        <w:t>临床医学硕士专业学位论文要求：</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hAnsi="宋体"/>
          <w:szCs w:val="21"/>
        </w:rPr>
      </w:pPr>
      <w:r>
        <w:rPr>
          <w:rFonts w:hAnsi="宋体"/>
          <w:szCs w:val="21"/>
        </w:rPr>
        <w:t>1</w:t>
      </w:r>
      <w:r>
        <w:rPr>
          <w:rFonts w:hint="eastAsia"/>
          <w:bCs/>
          <w:szCs w:val="21"/>
        </w:rPr>
        <w:t>．</w:t>
      </w:r>
      <w:r>
        <w:rPr>
          <w:rFonts w:hAnsi="宋体"/>
          <w:szCs w:val="21"/>
        </w:rPr>
        <w:t>学位论文类型为病例分析报告（含文献综述）</w:t>
      </w:r>
      <w:r>
        <w:rPr>
          <w:rFonts w:hint="eastAsia" w:hAnsi="宋体"/>
          <w:szCs w:val="21"/>
        </w:rPr>
        <w:t>，或者是建立、改进某一诊疗方法、技术，以及针对某一社区卫生问题的研究论文等；</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hAnsi="宋体"/>
          <w:szCs w:val="21"/>
        </w:rPr>
      </w:pPr>
      <w:r>
        <w:rPr>
          <w:rFonts w:hAnsi="宋体"/>
          <w:szCs w:val="21"/>
        </w:rPr>
        <w:t>2</w:t>
      </w:r>
      <w:r>
        <w:rPr>
          <w:rFonts w:hint="eastAsia"/>
          <w:bCs/>
          <w:szCs w:val="21"/>
        </w:rPr>
        <w:t>．</w:t>
      </w:r>
      <w:r>
        <w:rPr>
          <w:rFonts w:hAnsi="宋体"/>
          <w:szCs w:val="21"/>
        </w:rPr>
        <w:t>学位论文应紧密结合临床实际，以总结临床实践经验为主；</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hAnsi="宋体"/>
          <w:szCs w:val="21"/>
        </w:rPr>
      </w:pPr>
      <w:r>
        <w:rPr>
          <w:szCs w:val="21"/>
        </w:rPr>
        <w:t>3</w:t>
      </w:r>
      <w:r>
        <w:rPr>
          <w:rFonts w:hint="eastAsia"/>
          <w:szCs w:val="21"/>
        </w:rPr>
        <w:t>．</w:t>
      </w:r>
      <w:r>
        <w:rPr>
          <w:rFonts w:hAnsi="宋体"/>
          <w:szCs w:val="21"/>
        </w:rPr>
        <w:t>学位论文应表明申请人已经掌握临床科学研究的基本方法。</w:t>
      </w:r>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r>
        <w:rPr>
          <w:rFonts w:hint="eastAsia" w:ascii="黑体" w:hAnsi="黑体" w:eastAsia="黑体"/>
          <w:sz w:val="24"/>
          <w:szCs w:val="24"/>
        </w:rPr>
        <w:t>九、</w:t>
      </w:r>
      <w:r>
        <w:rPr>
          <w:rFonts w:ascii="黑体" w:hAnsi="黑体" w:eastAsia="黑体"/>
          <w:sz w:val="24"/>
          <w:szCs w:val="24"/>
        </w:rPr>
        <w:t>学位</w:t>
      </w:r>
      <w:r>
        <w:rPr>
          <w:rFonts w:hint="eastAsia" w:ascii="黑体" w:hAnsi="黑体" w:eastAsia="黑体"/>
          <w:sz w:val="24"/>
          <w:szCs w:val="24"/>
        </w:rPr>
        <w:t>申请与授予工作</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eastAsia="黑体"/>
          <w:sz w:val="24"/>
          <w:szCs w:val="28"/>
        </w:rPr>
      </w:pPr>
      <w:r>
        <w:rPr>
          <w:rFonts w:hAnsi="宋体"/>
          <w:szCs w:val="21"/>
        </w:rPr>
        <w:t>1</w:t>
      </w:r>
      <w:r>
        <w:rPr>
          <w:rFonts w:hint="eastAsia"/>
          <w:bCs/>
          <w:szCs w:val="21"/>
        </w:rPr>
        <w:t>．</w:t>
      </w:r>
      <w:r>
        <w:rPr>
          <w:rFonts w:hAnsi="宋体"/>
          <w:szCs w:val="21"/>
        </w:rPr>
        <w:t>申请临床医学硕士专业学位应当符合以下条件</w:t>
      </w:r>
      <w:r>
        <w:rPr>
          <w:rFonts w:hint="eastAsia" w:hAnsi="宋体"/>
          <w:szCs w:val="21"/>
        </w:rPr>
        <w:t>：</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ascii="宋体" w:hAnsi="宋体"/>
          <w:szCs w:val="21"/>
        </w:rPr>
      </w:pPr>
      <w:r>
        <w:rPr>
          <w:rFonts w:hint="eastAsia" w:hAnsi="宋体"/>
          <w:szCs w:val="21"/>
        </w:rPr>
        <w:t>（1）</w:t>
      </w:r>
      <w:r>
        <w:rPr>
          <w:rFonts w:ascii="宋体" w:hAnsi="宋体"/>
          <w:szCs w:val="21"/>
        </w:rPr>
        <w:t>完成学位授予单位培养方案所规定的各项要求；</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ascii="宋体" w:hAnsi="宋体"/>
          <w:szCs w:val="21"/>
        </w:rPr>
      </w:pPr>
      <w:r>
        <w:rPr>
          <w:rFonts w:hint="eastAsia" w:hAnsi="宋体"/>
          <w:szCs w:val="21"/>
        </w:rPr>
        <w:t>（2）</w:t>
      </w:r>
      <w:r>
        <w:rPr>
          <w:rFonts w:ascii="宋体" w:hAnsi="宋体"/>
          <w:szCs w:val="21"/>
        </w:rPr>
        <w:t>取得</w:t>
      </w:r>
      <w:r>
        <w:rPr>
          <w:rFonts w:hAnsi="宋体"/>
          <w:szCs w:val="21"/>
        </w:rPr>
        <w:t>《医师资格证书》</w:t>
      </w:r>
      <w:r>
        <w:rPr>
          <w:rFonts w:ascii="宋体" w:hAnsi="宋体"/>
          <w:szCs w:val="21"/>
        </w:rPr>
        <w:t>；</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ascii="宋体" w:hAnsi="宋体"/>
          <w:szCs w:val="21"/>
        </w:rPr>
      </w:pPr>
      <w:r>
        <w:rPr>
          <w:rFonts w:hint="eastAsia" w:hAnsi="宋体"/>
          <w:szCs w:val="21"/>
        </w:rPr>
        <w:t>（3）</w:t>
      </w:r>
      <w:r>
        <w:rPr>
          <w:rFonts w:ascii="宋体" w:hAnsi="宋体"/>
          <w:szCs w:val="21"/>
        </w:rPr>
        <w:t>完成</w:t>
      </w:r>
      <w:r>
        <w:rPr>
          <w:rFonts w:hAnsi="宋体"/>
          <w:szCs w:val="21"/>
        </w:rPr>
        <w:t>住院医师</w:t>
      </w:r>
      <w:r>
        <w:rPr>
          <w:rFonts w:ascii="宋体" w:hAnsi="宋体"/>
          <w:szCs w:val="21"/>
        </w:rPr>
        <w:t>规范化培训并取得《住院医师规范化培训合格证书》；</w:t>
      </w:r>
    </w:p>
    <w:p>
      <w:pPr>
        <w:keepNext w:val="0"/>
        <w:keepLines w:val="0"/>
        <w:pageBreakBefore w:val="0"/>
        <w:widowControl w:val="0"/>
        <w:kinsoku/>
        <w:wordWrap/>
        <w:overflowPunct/>
        <w:topLinePunct w:val="0"/>
        <w:autoSpaceDE/>
        <w:autoSpaceDN/>
        <w:bidi w:val="0"/>
        <w:snapToGrid w:val="0"/>
        <w:spacing w:line="300" w:lineRule="auto"/>
        <w:ind w:firstLine="420" w:firstLineChars="200"/>
        <w:textAlignment w:val="auto"/>
        <w:rPr>
          <w:rFonts w:ascii="宋体" w:hAnsi="宋体"/>
          <w:szCs w:val="21"/>
        </w:rPr>
      </w:pPr>
      <w:r>
        <w:rPr>
          <w:rFonts w:hint="eastAsia" w:hAnsi="宋体"/>
          <w:szCs w:val="21"/>
        </w:rPr>
        <w:t>（4）</w:t>
      </w:r>
      <w:r>
        <w:rPr>
          <w:rFonts w:ascii="宋体" w:hAnsi="宋体"/>
          <w:szCs w:val="21"/>
        </w:rPr>
        <w:t>通过硕士学位论文答辩。</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hAnsi="宋体"/>
          <w:szCs w:val="21"/>
        </w:rPr>
      </w:pPr>
      <w:r>
        <w:rPr>
          <w:rFonts w:hAnsi="宋体"/>
          <w:szCs w:val="21"/>
        </w:rPr>
        <w:t>2</w:t>
      </w:r>
      <w:r>
        <w:rPr>
          <w:rFonts w:hint="eastAsia" w:hAnsi="宋体"/>
          <w:szCs w:val="21"/>
        </w:rPr>
        <w:t>．</w:t>
      </w:r>
      <w:r>
        <w:rPr>
          <w:rFonts w:hAnsi="宋体"/>
          <w:szCs w:val="21"/>
        </w:rPr>
        <w:t>研究生在</w:t>
      </w:r>
      <w:r>
        <w:rPr>
          <w:rFonts w:hint="eastAsia" w:hAnsi="宋体"/>
          <w:szCs w:val="21"/>
        </w:rPr>
        <w:t>完</w:t>
      </w:r>
      <w:r>
        <w:rPr>
          <w:rFonts w:hAnsi="宋体"/>
          <w:szCs w:val="21"/>
        </w:rPr>
        <w:t>成临床医学硕士专业学位的全部培养要求后，</w:t>
      </w:r>
      <w:r>
        <w:rPr>
          <w:rFonts w:hint="eastAsia" w:hAnsi="宋体"/>
          <w:szCs w:val="21"/>
        </w:rPr>
        <w:t>可</w:t>
      </w:r>
      <w:r>
        <w:rPr>
          <w:rFonts w:hAnsi="宋体"/>
          <w:szCs w:val="21"/>
        </w:rPr>
        <w:t>向所在学院研究生主管部门提出申请，填写《西安交通大学专业学位申请书》，经二级学科科主任或导师组负责人审核同意，报医学</w:t>
      </w:r>
      <w:r>
        <w:rPr>
          <w:rFonts w:hint="eastAsia" w:hAnsi="宋体"/>
          <w:szCs w:val="21"/>
        </w:rPr>
        <w:t>部</w:t>
      </w:r>
      <w:r>
        <w:rPr>
          <w:rFonts w:hAnsi="宋体"/>
          <w:szCs w:val="21"/>
        </w:rPr>
        <w:t>学位分会批准，可进行学位论文答辩。</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hAnsi="宋体"/>
          <w:szCs w:val="21"/>
        </w:rPr>
      </w:pPr>
      <w:r>
        <w:rPr>
          <w:rFonts w:hAnsi="宋体"/>
          <w:szCs w:val="21"/>
        </w:rPr>
        <w:t>3</w:t>
      </w:r>
      <w:r>
        <w:rPr>
          <w:rFonts w:hint="eastAsia" w:hAnsi="宋体"/>
          <w:szCs w:val="21"/>
        </w:rPr>
        <w:t>．</w:t>
      </w:r>
      <w:r>
        <w:rPr>
          <w:rFonts w:hAnsi="宋体"/>
          <w:szCs w:val="21"/>
        </w:rPr>
        <w:t>研究生的硕士学位论文答辩由学校按学科专业组成答辩委员会（以下简称委员会），</w:t>
      </w:r>
      <w:r>
        <w:rPr>
          <w:rFonts w:hint="eastAsia" w:hAnsi="宋体"/>
          <w:szCs w:val="21"/>
        </w:rPr>
        <w:t>通常</w:t>
      </w:r>
      <w:r>
        <w:rPr>
          <w:rFonts w:hAnsi="宋体"/>
          <w:szCs w:val="21"/>
        </w:rPr>
        <w:t>在每年4-5月份组织进行学位论文答辩。学位论文答辩通过，委员会经无记名投票，全体委员三分之二以上同意，方可作出建议授予临床医学硕士专业学位的决议，并将决议提交</w:t>
      </w:r>
      <w:r>
        <w:rPr>
          <w:rFonts w:hint="eastAsia" w:hAnsi="宋体"/>
          <w:szCs w:val="21"/>
        </w:rPr>
        <w:t>医</w:t>
      </w:r>
      <w:r>
        <w:rPr>
          <w:rFonts w:hAnsi="宋体"/>
          <w:szCs w:val="21"/>
        </w:rPr>
        <w:t>学</w:t>
      </w:r>
      <w:r>
        <w:rPr>
          <w:rFonts w:hint="eastAsia" w:hAnsi="宋体"/>
          <w:szCs w:val="21"/>
        </w:rPr>
        <w:t>部</w:t>
      </w:r>
      <w:r>
        <w:rPr>
          <w:rFonts w:hAnsi="宋体"/>
          <w:szCs w:val="21"/>
        </w:rPr>
        <w:t>学位分会审核批准，报校学位评定委员会确认备案</w:t>
      </w:r>
      <w:r>
        <w:rPr>
          <w:rFonts w:hint="eastAsia" w:hAnsi="宋体"/>
          <w:szCs w:val="21"/>
        </w:rPr>
        <w:t>，</w:t>
      </w:r>
      <w:r>
        <w:rPr>
          <w:rFonts w:hAnsi="宋体"/>
          <w:szCs w:val="21"/>
        </w:rPr>
        <w:t>由学</w:t>
      </w:r>
      <w:r>
        <w:rPr>
          <w:rFonts w:hint="eastAsia" w:hAnsi="宋体"/>
          <w:szCs w:val="21"/>
        </w:rPr>
        <w:t>校</w:t>
      </w:r>
      <w:r>
        <w:rPr>
          <w:rFonts w:hAnsi="宋体"/>
          <w:szCs w:val="21"/>
        </w:rPr>
        <w:t>颁发硕士研究生学历证书和临床医学硕士专业学位证书。</w:t>
      </w:r>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r>
        <w:rPr>
          <w:rFonts w:hint="eastAsia" w:ascii="黑体" w:hAnsi="黑体" w:eastAsia="黑体"/>
          <w:sz w:val="24"/>
          <w:szCs w:val="24"/>
        </w:rPr>
        <w:t>十、</w:t>
      </w:r>
      <w:r>
        <w:rPr>
          <w:rFonts w:ascii="黑体" w:hAnsi="黑体" w:eastAsia="黑体"/>
          <w:sz w:val="24"/>
          <w:szCs w:val="24"/>
        </w:rPr>
        <w:t>分流机制</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hAnsi="宋体"/>
          <w:szCs w:val="21"/>
        </w:rPr>
      </w:pPr>
      <w:r>
        <w:rPr>
          <w:rFonts w:hAnsi="宋体"/>
          <w:szCs w:val="21"/>
        </w:rPr>
        <w:t>学位授予单位应按照研究生学籍管理有关规定制订相关政策，对不适宜继续按照临床医学硕士专业学位培养的研究生进行合理分流。</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hAnsi="宋体"/>
          <w:szCs w:val="21"/>
        </w:rPr>
      </w:pPr>
      <w:r>
        <w:rPr>
          <w:rFonts w:hint="eastAsia" w:hAnsi="宋体"/>
          <w:szCs w:val="21"/>
        </w:rPr>
        <w:t>1</w:t>
      </w:r>
      <w:r>
        <w:rPr>
          <w:bCs/>
        </w:rPr>
        <w:t>．</w:t>
      </w:r>
      <w:r>
        <w:rPr>
          <w:rFonts w:hint="eastAsia" w:hAnsi="宋体"/>
          <w:szCs w:val="21"/>
        </w:rPr>
        <w:t>第二学年内未获得《医师资格证书》，根据学生意愿，可安排其转入学术学位研究生培养渠道，但应按照学术学位研究生的培养要求完成学位课程学习和论文答辩。</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hAnsi="宋体"/>
          <w:szCs w:val="21"/>
        </w:rPr>
      </w:pPr>
      <w:r>
        <w:rPr>
          <w:rFonts w:hint="eastAsia" w:hAnsi="宋体"/>
          <w:szCs w:val="21"/>
        </w:rPr>
        <w:t>2</w:t>
      </w:r>
      <w:r>
        <w:rPr>
          <w:bCs/>
        </w:rPr>
        <w:t>．</w:t>
      </w:r>
      <w:r>
        <w:rPr>
          <w:rFonts w:hint="eastAsia" w:hAnsi="宋体"/>
          <w:szCs w:val="21"/>
        </w:rPr>
        <w:t>在规定的学习年限内，未通过学位课程考核、住院医师规范化培训考核或学位论文答辩者，经学位授予单位批准，可适当延长学习年限。</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hAnsi="宋体"/>
          <w:szCs w:val="21"/>
        </w:rPr>
      </w:pPr>
      <w:r>
        <w:rPr>
          <w:rFonts w:hint="eastAsia" w:hAnsi="宋体"/>
          <w:szCs w:val="21"/>
        </w:rPr>
        <w:t>3</w:t>
      </w:r>
      <w:r>
        <w:rPr>
          <w:bCs/>
        </w:rPr>
        <w:t>．</w:t>
      </w:r>
      <w:r>
        <w:rPr>
          <w:rFonts w:hint="eastAsia" w:hAnsi="宋体"/>
          <w:szCs w:val="21"/>
        </w:rPr>
        <w:t>对在规定的学习年限内获得《医师资格证书》、完成学位课程考核，但未获得《住院医师规范化培训合格证书》者，可对其进行毕业考核和论文答辩，准予毕业。毕业后三年内取得《住院医师规范化培训合格证书》者，可回原学位授予单位申请硕士专业学位。</w:t>
      </w:r>
    </w:p>
    <w:p>
      <w:pPr>
        <w:keepNext/>
        <w:keepLines/>
        <w:spacing w:before="340" w:after="340" w:line="286" w:lineRule="auto"/>
        <w:jc w:val="center"/>
        <w:outlineLvl w:val="1"/>
        <w:rPr>
          <w:rFonts w:hAnsi="Arial" w:eastAsia="黑体"/>
          <w:bCs/>
          <w:sz w:val="28"/>
          <w:szCs w:val="28"/>
        </w:rPr>
      </w:pPr>
      <w:bookmarkStart w:id="582" w:name="_Toc110427522"/>
      <w:r>
        <w:rPr>
          <w:rFonts w:hAnsi="Arial" w:eastAsia="黑体"/>
          <w:bCs/>
          <w:sz w:val="28"/>
          <w:szCs w:val="28"/>
        </w:rPr>
        <w:t>（</w:t>
      </w:r>
      <w:r>
        <w:rPr>
          <w:rFonts w:hint="eastAsia" w:hAnsi="Arial" w:eastAsia="黑体"/>
          <w:bCs/>
          <w:sz w:val="28"/>
          <w:szCs w:val="28"/>
        </w:rPr>
        <w:t>七</w:t>
      </w:r>
      <w:r>
        <w:rPr>
          <w:rFonts w:hAnsi="Arial" w:eastAsia="黑体"/>
          <w:bCs/>
          <w:sz w:val="28"/>
          <w:szCs w:val="28"/>
        </w:rPr>
        <w:t>）</w:t>
      </w:r>
      <w:r>
        <w:rPr>
          <w:rFonts w:hint="eastAsia" w:hAnsi="Arial" w:eastAsia="黑体"/>
          <w:bCs/>
          <w:sz w:val="28"/>
          <w:szCs w:val="28"/>
        </w:rPr>
        <w:t>口腔医学硕士</w:t>
      </w:r>
      <w:r>
        <w:rPr>
          <w:rFonts w:hint="eastAsia" w:hAnsi="Arial" w:eastAsia="黑体"/>
          <w:b/>
          <w:bCs w:val="0"/>
          <w:sz w:val="28"/>
          <w:szCs w:val="28"/>
        </w:rPr>
        <w:t>（1052）</w:t>
      </w:r>
      <w:r>
        <w:rPr>
          <w:rFonts w:hAnsi="Arial" w:eastAsia="黑体"/>
          <w:bCs/>
          <w:sz w:val="28"/>
          <w:szCs w:val="28"/>
        </w:rPr>
        <w:t>培养方案</w:t>
      </w:r>
      <w:bookmarkEnd w:id="582"/>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auto"/>
        <w:textAlignment w:val="auto"/>
        <w:rPr>
          <w:rFonts w:ascii="黑体" w:hAnsi="黑体" w:eastAsia="黑体"/>
          <w:sz w:val="24"/>
          <w:szCs w:val="24"/>
        </w:rPr>
      </w:pPr>
      <w:r>
        <w:rPr>
          <w:rFonts w:ascii="黑体" w:hAnsi="黑体" w:eastAsia="黑体"/>
          <w:sz w:val="24"/>
          <w:szCs w:val="24"/>
        </w:rPr>
        <w:t>一、培养目标</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rFonts w:hint="eastAsia" w:hAnsi="宋体"/>
          <w:szCs w:val="21"/>
        </w:rPr>
        <w:t>1</w:t>
      </w:r>
      <w:r>
        <w:rPr>
          <w:bCs/>
        </w:rPr>
        <w:t>．</w:t>
      </w:r>
      <w:r>
        <w:rPr>
          <w:rFonts w:hAnsi="宋体"/>
          <w:szCs w:val="21"/>
        </w:rPr>
        <w:t>拥护中国共产党的领导，拥护社会主义制度，热爱祖国，具有良好的医德医风，团结协作，身体健康，愿为我国现代化建设和临床医学事业而献身。</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rFonts w:hint="eastAsia" w:hAnsi="宋体"/>
          <w:szCs w:val="21"/>
        </w:rPr>
        <w:t>2</w:t>
      </w:r>
      <w:r>
        <w:rPr>
          <w:bCs/>
        </w:rPr>
        <w:t>．</w:t>
      </w:r>
      <w:r>
        <w:rPr>
          <w:rFonts w:hAnsi="宋体"/>
          <w:szCs w:val="21"/>
        </w:rPr>
        <w:t>具有较强的临床分析和思维能力，能独立处理本学科领域内的常见病，能对下级医师进行业务指导，达到高</w:t>
      </w:r>
      <w:r>
        <w:rPr>
          <w:rFonts w:hint="eastAsia" w:hAnsi="宋体"/>
          <w:szCs w:val="21"/>
        </w:rPr>
        <w:t>年资</w:t>
      </w:r>
      <w:r>
        <w:rPr>
          <w:rFonts w:hAnsi="宋体"/>
          <w:szCs w:val="21"/>
        </w:rPr>
        <w:t>住院医师的临床工作水平。</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rFonts w:hint="eastAsia" w:hAnsi="宋体"/>
          <w:szCs w:val="21"/>
        </w:rPr>
        <w:t>3</w:t>
      </w:r>
      <w:r>
        <w:rPr>
          <w:bCs/>
        </w:rPr>
        <w:t>．</w:t>
      </w:r>
      <w:r>
        <w:rPr>
          <w:rFonts w:hAnsi="宋体"/>
          <w:szCs w:val="21"/>
        </w:rPr>
        <w:t>掌握本学科坚实的基础理论和系统的专业知识。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Ansi="宋体"/>
          <w:szCs w:val="21"/>
        </w:rPr>
      </w:pPr>
      <w:r>
        <w:rPr>
          <w:rFonts w:hint="eastAsia" w:hAnsi="宋体"/>
          <w:szCs w:val="21"/>
        </w:rPr>
        <w:t>4</w:t>
      </w:r>
      <w:r>
        <w:rPr>
          <w:rFonts w:hAnsi="宋体"/>
          <w:szCs w:val="21"/>
        </w:rPr>
        <w:t>．能结合临床实际，学习并掌握临床科学研究的基本方法，完成一篇学位论文并通过答辩。</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rFonts w:hint="eastAsia" w:hAnsi="宋体"/>
          <w:szCs w:val="21"/>
        </w:rPr>
        <w:t>5</w:t>
      </w:r>
      <w:r>
        <w:rPr>
          <w:bCs/>
        </w:rPr>
        <w:t>．</w:t>
      </w:r>
      <w:r>
        <w:rPr>
          <w:rFonts w:hAnsi="宋体"/>
          <w:szCs w:val="21"/>
        </w:rPr>
        <w:t>掌握一门外国语，具有较熟练阅读本专业外文资料的能力</w:t>
      </w:r>
      <w:r>
        <w:rPr>
          <w:rFonts w:hint="eastAsia" w:hAnsi="宋体"/>
          <w:szCs w:val="21"/>
        </w:rPr>
        <w:t>。</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auto"/>
        <w:textAlignment w:val="auto"/>
        <w:rPr>
          <w:rFonts w:ascii="黑体" w:hAnsi="黑体" w:eastAsia="黑体"/>
          <w:sz w:val="24"/>
          <w:szCs w:val="24"/>
        </w:rPr>
      </w:pPr>
      <w:r>
        <w:rPr>
          <w:rFonts w:ascii="黑体" w:hAnsi="黑体" w:eastAsia="黑体"/>
          <w:sz w:val="24"/>
          <w:szCs w:val="24"/>
        </w:rPr>
        <w:t>二、</w:t>
      </w:r>
      <w:r>
        <w:rPr>
          <w:rFonts w:hint="eastAsia" w:ascii="黑体" w:hAnsi="黑体" w:eastAsia="黑体"/>
          <w:sz w:val="24"/>
          <w:szCs w:val="24"/>
        </w:rPr>
        <w:t>专业</w:t>
      </w:r>
      <w:r>
        <w:rPr>
          <w:rFonts w:ascii="黑体" w:hAnsi="黑体" w:eastAsia="黑体"/>
          <w:sz w:val="24"/>
          <w:szCs w:val="24"/>
        </w:rPr>
        <w:t>方向</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口腔临床医学</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auto"/>
        <w:textAlignment w:val="auto"/>
        <w:rPr>
          <w:rFonts w:ascii="黑体" w:hAnsi="黑体" w:eastAsia="黑体"/>
          <w:sz w:val="24"/>
          <w:szCs w:val="24"/>
        </w:rPr>
      </w:pPr>
      <w:r>
        <w:rPr>
          <w:rFonts w:ascii="黑体" w:hAnsi="黑体" w:eastAsia="黑体"/>
          <w:sz w:val="24"/>
          <w:szCs w:val="24"/>
        </w:rPr>
        <w:t>三、学习年限</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rFonts w:hint="eastAsia" w:hAnsi="宋体"/>
          <w:szCs w:val="21"/>
        </w:rPr>
        <w:t>经</w:t>
      </w:r>
      <w:r>
        <w:rPr>
          <w:rFonts w:hAnsi="宋体"/>
          <w:szCs w:val="21"/>
        </w:rPr>
        <w:t>由硕士研究生入学考试录取的</w:t>
      </w:r>
      <w:r>
        <w:rPr>
          <w:rFonts w:hint="eastAsia" w:hAnsi="宋体"/>
          <w:szCs w:val="21"/>
        </w:rPr>
        <w:t>口腔</w:t>
      </w:r>
      <w:r>
        <w:rPr>
          <w:rFonts w:hAnsi="宋体"/>
          <w:szCs w:val="21"/>
        </w:rPr>
        <w:t>临床医学研究生（以下简称研究生）：</w:t>
      </w:r>
      <w:r>
        <w:rPr>
          <w:rFonts w:hint="eastAsia" w:hAnsi="宋体"/>
          <w:szCs w:val="21"/>
        </w:rPr>
        <w:t>学习年限为3年</w:t>
      </w:r>
      <w:r>
        <w:rPr>
          <w:rFonts w:hAnsi="宋体"/>
          <w:szCs w:val="21"/>
        </w:rPr>
        <w:t>。</w:t>
      </w:r>
      <w:r>
        <w:rPr>
          <w:rFonts w:hint="eastAsia" w:hAnsi="宋体"/>
          <w:szCs w:val="21"/>
        </w:rPr>
        <w:t>口腔</w:t>
      </w:r>
      <w:r>
        <w:rPr>
          <w:rFonts w:hAnsi="宋体"/>
          <w:szCs w:val="21"/>
        </w:rPr>
        <w:t>临床医学硕士专业学位研究生（住院医师）具有硕士研究生和住院医师的双重身份，接受</w:t>
      </w:r>
      <w:r>
        <w:rPr>
          <w:rFonts w:hint="eastAsia" w:hAnsi="宋体"/>
          <w:szCs w:val="21"/>
        </w:rPr>
        <w:t>学校</w:t>
      </w:r>
      <w:r>
        <w:rPr>
          <w:rFonts w:hAnsi="宋体"/>
          <w:szCs w:val="21"/>
        </w:rPr>
        <w:t>、</w:t>
      </w:r>
      <w:r>
        <w:rPr>
          <w:rFonts w:hint="eastAsia" w:hAnsi="宋体"/>
          <w:szCs w:val="21"/>
        </w:rPr>
        <w:t>附属医院（</w:t>
      </w:r>
      <w:r>
        <w:rPr>
          <w:rFonts w:hAnsi="宋体"/>
          <w:szCs w:val="21"/>
        </w:rPr>
        <w:t>培训医院</w:t>
      </w:r>
      <w:r>
        <w:rPr>
          <w:rFonts w:hint="eastAsia" w:hAnsi="宋体"/>
          <w:szCs w:val="21"/>
        </w:rPr>
        <w:t>）的共同</w:t>
      </w:r>
      <w:r>
        <w:rPr>
          <w:rFonts w:hAnsi="宋体"/>
          <w:szCs w:val="21"/>
        </w:rPr>
        <w:t>管理。</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auto"/>
        <w:textAlignment w:val="auto"/>
        <w:rPr>
          <w:rFonts w:ascii="黑体" w:hAnsi="黑体" w:eastAsia="黑体"/>
          <w:sz w:val="24"/>
          <w:szCs w:val="24"/>
        </w:rPr>
      </w:pPr>
      <w:r>
        <w:rPr>
          <w:rFonts w:ascii="黑体" w:hAnsi="黑体" w:eastAsia="黑体"/>
          <w:sz w:val="24"/>
          <w:szCs w:val="24"/>
        </w:rPr>
        <w:t>四、培养方式</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1．实行导师指导和课题组集体培养相结合的方式。</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2．课程学习可采用上课、自学、辅导、讨论等方式。</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3．</w:t>
      </w:r>
      <w:r>
        <w:rPr>
          <w:rFonts w:hint="eastAsia" w:ascii="宋体" w:hAnsi="宋体" w:cs="宋体"/>
          <w:szCs w:val="21"/>
        </w:rPr>
        <w:t>导师应根据本培养方案和因材施教的原则</w:t>
      </w:r>
      <w:r>
        <w:rPr>
          <w:szCs w:val="21"/>
        </w:rPr>
        <w:t>，于硕士生入学后2个月内，制定出具体的培养计划。</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4．开题应注重培养硕士生的创新能力及科研能力，在导师的指导下，通过查阅文献、调查研究后由本人确定。开题报告必须有详细记录，记录填写在</w:t>
      </w:r>
      <w:r>
        <w:rPr>
          <w:bCs/>
          <w:szCs w:val="21"/>
        </w:rPr>
        <w:t>《西安交通大学研究生开题报告》中。</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5．临床实习由各医院研究生管理部门统一负责安排。</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6．硕士生应参加校、院组织的研讨会或其它学术活动。根据科研工作的需要，可适当安排外出参加有关学术活动。</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7</w:t>
      </w:r>
      <w:r>
        <w:rPr>
          <w:rFonts w:hint="eastAsia"/>
          <w:szCs w:val="21"/>
        </w:rPr>
        <w:t>．</w:t>
      </w:r>
      <w:r>
        <w:rPr>
          <w:szCs w:val="21"/>
        </w:rPr>
        <w:t>硕士生应在第四学期结束前完成中期考核，考核不通过者，可以参加下学期的中期考核。</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contextualSpacing/>
        <w:textAlignment w:val="auto"/>
        <w:rPr>
          <w:szCs w:val="21"/>
        </w:rPr>
      </w:pPr>
      <w:r>
        <w:rPr>
          <w:rFonts w:hint="eastAsia"/>
          <w:kern w:val="0"/>
          <w:szCs w:val="21"/>
        </w:rPr>
        <w:t>8. 研究生的开题报告和中期报告中应包含实验安全风险评估的内容。</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auto"/>
        <w:textAlignment w:val="auto"/>
        <w:rPr>
          <w:rFonts w:ascii="黑体" w:hAnsi="黑体" w:eastAsia="黑体"/>
          <w:sz w:val="24"/>
          <w:szCs w:val="24"/>
        </w:rPr>
      </w:pPr>
      <w:r>
        <w:rPr>
          <w:rFonts w:ascii="黑体" w:hAnsi="黑体" w:eastAsia="黑体"/>
          <w:sz w:val="24"/>
          <w:szCs w:val="24"/>
        </w:rPr>
        <w:t>五、课程学习</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Ansi="宋体"/>
          <w:szCs w:val="21"/>
        </w:rPr>
      </w:pPr>
      <w:r>
        <w:rPr>
          <w:rFonts w:hint="eastAsia" w:hAnsi="宋体"/>
          <w:szCs w:val="21"/>
        </w:rPr>
        <w:t>课程学习实行学分制，由公共学位课、专业基础和专业课等课程组成。专业基础课程和住院医师规范化培训公共科目完全一致，上课方式采取分散与集中结合的方式。专业理论课根据住院医师规范化培训标准细则要求，以自学与专题讲座相结合的方式进行。为适应住院医师规范化培训的要求，临床专业学位研究生的课程主要安排在晚上或周末进行。</w:t>
      </w:r>
    </w:p>
    <w:tbl>
      <w:tblPr>
        <w:tblStyle w:val="37"/>
        <w:tblpPr w:leftFromText="180" w:rightFromText="180" w:vertAnchor="text" w:horzAnchor="page" w:tblpX="1755" w:tblpY="1103"/>
        <w:tblOverlap w:val="never"/>
        <w:tblW w:w="46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138"/>
        <w:gridCol w:w="1051"/>
        <w:gridCol w:w="1359"/>
        <w:gridCol w:w="2747"/>
        <w:gridCol w:w="673"/>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trPr>
        <w:tc>
          <w:tcPr>
            <w:tcW w:w="457" w:type="pct"/>
            <w:tcBorders>
              <w:top w:val="single" w:color="auto" w:sz="4" w:space="0"/>
              <w:left w:val="single" w:color="auto" w:sz="4" w:space="0"/>
              <w:bottom w:val="single" w:color="auto" w:sz="4" w:space="0"/>
              <w:right w:val="single" w:color="auto" w:sz="4" w:space="0"/>
            </w:tcBorders>
            <w:vAlign w:val="center"/>
          </w:tcPr>
          <w:p>
            <w:pPr>
              <w:spacing w:line="286" w:lineRule="auto"/>
              <w:jc w:val="center"/>
              <w:rPr>
                <w:b/>
                <w:szCs w:val="21"/>
              </w:rPr>
            </w:pPr>
            <w:r>
              <w:rPr>
                <w:b/>
                <w:szCs w:val="21"/>
              </w:rPr>
              <w:t>课程类型</w:t>
            </w:r>
          </w:p>
        </w:tc>
        <w:tc>
          <w:tcPr>
            <w:tcW w:w="682" w:type="pct"/>
            <w:tcBorders>
              <w:top w:val="single" w:color="auto" w:sz="4" w:space="0"/>
              <w:left w:val="single" w:color="auto" w:sz="4" w:space="0"/>
              <w:bottom w:val="single" w:color="auto" w:sz="4" w:space="0"/>
              <w:right w:val="single" w:color="auto" w:sz="4" w:space="0"/>
            </w:tcBorders>
            <w:vAlign w:val="center"/>
          </w:tcPr>
          <w:p>
            <w:pPr>
              <w:spacing w:line="286" w:lineRule="auto"/>
              <w:jc w:val="center"/>
              <w:rPr>
                <w:b/>
                <w:szCs w:val="21"/>
              </w:rPr>
            </w:pPr>
            <w:r>
              <w:rPr>
                <w:b/>
                <w:szCs w:val="21"/>
              </w:rPr>
              <w:t>课程性质</w:t>
            </w:r>
          </w:p>
        </w:tc>
        <w:tc>
          <w:tcPr>
            <w:tcW w:w="631" w:type="pct"/>
            <w:tcBorders>
              <w:top w:val="single" w:color="auto" w:sz="4" w:space="0"/>
              <w:left w:val="single" w:color="auto" w:sz="4" w:space="0"/>
              <w:bottom w:val="single" w:color="auto" w:sz="4" w:space="0"/>
              <w:right w:val="single" w:color="auto" w:sz="4" w:space="0"/>
            </w:tcBorders>
            <w:vAlign w:val="center"/>
          </w:tcPr>
          <w:p>
            <w:pPr>
              <w:spacing w:line="286" w:lineRule="auto"/>
              <w:ind w:left="-128" w:leftChars="-61"/>
              <w:jc w:val="center"/>
              <w:rPr>
                <w:b/>
                <w:szCs w:val="21"/>
              </w:rPr>
            </w:pPr>
            <w:r>
              <w:rPr>
                <w:b/>
                <w:szCs w:val="21"/>
              </w:rPr>
              <w:t>课程编号</w:t>
            </w:r>
          </w:p>
        </w:tc>
        <w:tc>
          <w:tcPr>
            <w:tcW w:w="813" w:type="pct"/>
            <w:tcBorders>
              <w:top w:val="single" w:color="auto" w:sz="4" w:space="0"/>
              <w:left w:val="single" w:color="auto" w:sz="4" w:space="0"/>
              <w:bottom w:val="single" w:color="auto" w:sz="4" w:space="0"/>
              <w:right w:val="single" w:color="auto" w:sz="4" w:space="0"/>
            </w:tcBorders>
            <w:vAlign w:val="center"/>
          </w:tcPr>
          <w:p>
            <w:pPr>
              <w:spacing w:line="286" w:lineRule="auto"/>
              <w:ind w:left="-128" w:leftChars="-61"/>
              <w:jc w:val="center"/>
              <w:rPr>
                <w:b/>
                <w:szCs w:val="21"/>
              </w:rPr>
            </w:pPr>
            <w:r>
              <w:rPr>
                <w:rFonts w:hint="eastAsia"/>
                <w:b/>
                <w:szCs w:val="21"/>
              </w:rPr>
              <w:t>统一编码</w:t>
            </w:r>
          </w:p>
        </w:tc>
        <w:tc>
          <w:tcPr>
            <w:tcW w:w="1636" w:type="pct"/>
            <w:tcBorders>
              <w:top w:val="single" w:color="auto" w:sz="4" w:space="0"/>
              <w:left w:val="single" w:color="auto" w:sz="4" w:space="0"/>
              <w:bottom w:val="single" w:color="auto" w:sz="4" w:space="0"/>
              <w:right w:val="single" w:color="auto" w:sz="4" w:space="0"/>
            </w:tcBorders>
            <w:vAlign w:val="center"/>
          </w:tcPr>
          <w:p>
            <w:pPr>
              <w:spacing w:line="286" w:lineRule="auto"/>
              <w:jc w:val="center"/>
              <w:rPr>
                <w:b/>
                <w:szCs w:val="21"/>
              </w:rPr>
            </w:pPr>
            <w:r>
              <w:rPr>
                <w:b/>
                <w:szCs w:val="21"/>
              </w:rPr>
              <w:t>课程名称</w:t>
            </w:r>
          </w:p>
        </w:tc>
        <w:tc>
          <w:tcPr>
            <w:tcW w:w="406" w:type="pct"/>
            <w:tcBorders>
              <w:top w:val="single" w:color="auto" w:sz="4" w:space="0"/>
              <w:left w:val="single" w:color="auto" w:sz="4" w:space="0"/>
              <w:bottom w:val="single" w:color="auto" w:sz="4" w:space="0"/>
              <w:right w:val="single" w:color="auto" w:sz="4" w:space="0"/>
            </w:tcBorders>
            <w:vAlign w:val="center"/>
          </w:tcPr>
          <w:p>
            <w:pPr>
              <w:spacing w:line="286" w:lineRule="auto"/>
              <w:jc w:val="center"/>
              <w:rPr>
                <w:b/>
                <w:szCs w:val="21"/>
              </w:rPr>
            </w:pPr>
            <w:r>
              <w:rPr>
                <w:b/>
                <w:szCs w:val="21"/>
              </w:rPr>
              <w:t>学分</w:t>
            </w:r>
          </w:p>
        </w:tc>
        <w:tc>
          <w:tcPr>
            <w:tcW w:w="371" w:type="pct"/>
            <w:tcBorders>
              <w:top w:val="single" w:color="auto" w:sz="4" w:space="0"/>
              <w:left w:val="single" w:color="auto" w:sz="4" w:space="0"/>
              <w:bottom w:val="single" w:color="auto" w:sz="4" w:space="0"/>
              <w:right w:val="single" w:color="auto" w:sz="4" w:space="0"/>
            </w:tcBorders>
            <w:vAlign w:val="center"/>
          </w:tcPr>
          <w:p>
            <w:pPr>
              <w:spacing w:line="286" w:lineRule="auto"/>
              <w:jc w:val="center"/>
              <w:rPr>
                <w:b/>
                <w:szCs w:val="21"/>
              </w:rPr>
            </w:pPr>
            <w:r>
              <w:rPr>
                <w:b/>
                <w:szCs w:val="21"/>
              </w:rPr>
              <w:t>应修学分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Merge w:val="restart"/>
            <w:tcBorders>
              <w:top w:val="single" w:color="auto" w:sz="4" w:space="0"/>
              <w:left w:val="single" w:color="auto" w:sz="4" w:space="0"/>
              <w:right w:val="single" w:color="auto" w:sz="4" w:space="0"/>
            </w:tcBorders>
            <w:vAlign w:val="center"/>
          </w:tcPr>
          <w:p>
            <w:pPr>
              <w:spacing w:line="286" w:lineRule="auto"/>
              <w:ind w:left="419" w:leftChars="71" w:hanging="270" w:hangingChars="129"/>
              <w:jc w:val="center"/>
              <w:rPr>
                <w:szCs w:val="21"/>
                <w:lang w:val="zh-CN"/>
              </w:rPr>
            </w:pPr>
            <w:r>
              <w:rPr>
                <w:szCs w:val="21"/>
                <w:lang w:val="zh-CN"/>
              </w:rPr>
              <w:t>学位课</w:t>
            </w:r>
          </w:p>
        </w:tc>
        <w:tc>
          <w:tcPr>
            <w:tcW w:w="682" w:type="pct"/>
            <w:vMerge w:val="restart"/>
            <w:tcBorders>
              <w:top w:val="single" w:color="auto" w:sz="4" w:space="0"/>
              <w:left w:val="single" w:color="auto" w:sz="4" w:space="0"/>
              <w:right w:val="single" w:color="auto" w:sz="4" w:space="0"/>
            </w:tcBorders>
            <w:vAlign w:val="center"/>
          </w:tcPr>
          <w:p>
            <w:pPr>
              <w:spacing w:line="286" w:lineRule="auto"/>
              <w:ind w:left="420" w:hanging="420" w:hangingChars="200"/>
              <w:jc w:val="center"/>
              <w:rPr>
                <w:szCs w:val="21"/>
                <w:lang w:val="zh-CN"/>
              </w:rPr>
            </w:pPr>
            <w:r>
              <w:rPr>
                <w:szCs w:val="21"/>
                <w:lang w:val="zh-CN"/>
              </w:rPr>
              <w:t>校公共</w:t>
            </w:r>
          </w:p>
          <w:p>
            <w:pPr>
              <w:spacing w:line="286" w:lineRule="auto"/>
              <w:ind w:left="63" w:leftChars="30"/>
              <w:jc w:val="center"/>
              <w:rPr>
                <w:szCs w:val="21"/>
                <w:lang w:val="zh-CN"/>
              </w:rPr>
            </w:pPr>
            <w:r>
              <w:rPr>
                <w:szCs w:val="21"/>
                <w:lang w:val="zh-CN"/>
              </w:rPr>
              <w:t>学位课</w:t>
            </w:r>
          </w:p>
        </w:tc>
        <w:tc>
          <w:tcPr>
            <w:tcW w:w="631" w:type="pct"/>
            <w:tcBorders>
              <w:top w:val="single" w:color="auto" w:sz="4" w:space="0"/>
              <w:left w:val="single" w:color="auto" w:sz="4" w:space="0"/>
              <w:bottom w:val="single" w:color="auto" w:sz="4" w:space="0"/>
              <w:right w:val="single" w:color="auto" w:sz="4" w:space="0"/>
            </w:tcBorders>
            <w:vAlign w:val="center"/>
          </w:tcPr>
          <w:p>
            <w:pPr>
              <w:spacing w:line="286" w:lineRule="auto"/>
              <w:jc w:val="center"/>
              <w:rPr>
                <w:rFonts w:ascii="宋体" w:hAnsi="宋体"/>
                <w:szCs w:val="21"/>
              </w:rPr>
            </w:pPr>
            <w:r>
              <w:rPr>
                <w:rFonts w:hint="eastAsia" w:ascii="宋体" w:hAnsi="宋体"/>
                <w:szCs w:val="21"/>
              </w:rPr>
              <w:t>141003</w:t>
            </w:r>
          </w:p>
        </w:tc>
        <w:tc>
          <w:tcPr>
            <w:tcW w:w="813" w:type="pct"/>
            <w:tcBorders>
              <w:top w:val="single" w:color="auto" w:sz="4" w:space="0"/>
              <w:left w:val="single" w:color="auto" w:sz="4" w:space="0"/>
              <w:bottom w:val="single" w:color="auto" w:sz="4" w:space="0"/>
              <w:right w:val="single" w:color="auto" w:sz="4" w:space="0"/>
            </w:tcBorders>
            <w:vAlign w:val="center"/>
          </w:tcPr>
          <w:p>
            <w:pPr>
              <w:spacing w:line="286" w:lineRule="auto"/>
              <w:jc w:val="center"/>
              <w:rPr>
                <w:rFonts w:ascii="宋体" w:hAnsi="宋体"/>
                <w:szCs w:val="21"/>
              </w:rPr>
            </w:pPr>
            <w:r>
              <w:rPr>
                <w:rFonts w:ascii="宋体" w:hAnsi="宋体"/>
                <w:szCs w:val="21"/>
              </w:rPr>
              <w:t>MLMD6003</w:t>
            </w:r>
            <w:r>
              <w:rPr>
                <w:rFonts w:hint="eastAsia" w:ascii="宋体" w:hAnsi="宋体"/>
                <w:szCs w:val="21"/>
              </w:rPr>
              <w:t>14</w:t>
            </w:r>
          </w:p>
        </w:tc>
        <w:tc>
          <w:tcPr>
            <w:tcW w:w="1636" w:type="pct"/>
            <w:tcBorders>
              <w:top w:val="single" w:color="auto" w:sz="4" w:space="0"/>
              <w:left w:val="single" w:color="auto" w:sz="4" w:space="0"/>
              <w:bottom w:val="single" w:color="auto" w:sz="4" w:space="0"/>
              <w:right w:val="single" w:color="auto" w:sz="4" w:space="0"/>
            </w:tcBorders>
            <w:vAlign w:val="center"/>
          </w:tcPr>
          <w:p>
            <w:pPr>
              <w:spacing w:line="286" w:lineRule="auto"/>
              <w:rPr>
                <w:szCs w:val="21"/>
              </w:rPr>
            </w:pPr>
            <w:r>
              <w:rPr>
                <w:rFonts w:hint="eastAsia"/>
                <w:lang w:val="zh-CN"/>
              </w:rPr>
              <w:t>新时代中国特色社会主义</w:t>
            </w:r>
            <w:r>
              <w:rPr>
                <w:rFonts w:hint="eastAsia"/>
              </w:rPr>
              <w:t>理论与实践</w:t>
            </w:r>
          </w:p>
        </w:tc>
        <w:tc>
          <w:tcPr>
            <w:tcW w:w="406" w:type="pct"/>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lang w:val="zh-CN"/>
              </w:rPr>
            </w:pPr>
            <w:r>
              <w:rPr>
                <w:szCs w:val="21"/>
                <w:lang w:val="zh-CN"/>
              </w:rPr>
              <w:t>2</w:t>
            </w:r>
          </w:p>
        </w:tc>
        <w:tc>
          <w:tcPr>
            <w:tcW w:w="371" w:type="pct"/>
            <w:vMerge w:val="restart"/>
            <w:tcBorders>
              <w:top w:val="single" w:color="auto" w:sz="4" w:space="0"/>
              <w:left w:val="single" w:color="auto" w:sz="4" w:space="0"/>
              <w:right w:val="single" w:color="auto" w:sz="4" w:space="0"/>
            </w:tcBorders>
            <w:vAlign w:val="center"/>
          </w:tcPr>
          <w:p>
            <w:pPr>
              <w:spacing w:line="286" w:lineRule="auto"/>
              <w:jc w:val="center"/>
              <w:rPr>
                <w:szCs w:val="21"/>
                <w:lang w:val="zh-CN"/>
              </w:rPr>
            </w:pPr>
            <w:r>
              <w:rPr>
                <w:szCs w:val="21"/>
                <w:lang w:val="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Merge w:val="continue"/>
            <w:tcBorders>
              <w:left w:val="single" w:color="auto" w:sz="4" w:space="0"/>
              <w:right w:val="single" w:color="auto" w:sz="4" w:space="0"/>
            </w:tcBorders>
            <w:vAlign w:val="center"/>
          </w:tcPr>
          <w:p>
            <w:pPr>
              <w:spacing w:line="286" w:lineRule="auto"/>
              <w:jc w:val="center"/>
              <w:rPr>
                <w:szCs w:val="21"/>
                <w:lang w:val="zh-CN"/>
              </w:rPr>
            </w:pPr>
          </w:p>
        </w:tc>
        <w:tc>
          <w:tcPr>
            <w:tcW w:w="682" w:type="pct"/>
            <w:vMerge w:val="continue"/>
            <w:tcBorders>
              <w:left w:val="single" w:color="auto" w:sz="4" w:space="0"/>
              <w:right w:val="single" w:color="auto" w:sz="4" w:space="0"/>
            </w:tcBorders>
            <w:vAlign w:val="center"/>
          </w:tcPr>
          <w:p>
            <w:pPr>
              <w:spacing w:line="286" w:lineRule="auto"/>
              <w:jc w:val="center"/>
              <w:rPr>
                <w:szCs w:val="21"/>
                <w:lang w:val="zh-CN"/>
              </w:rPr>
            </w:pPr>
          </w:p>
        </w:tc>
        <w:tc>
          <w:tcPr>
            <w:tcW w:w="631" w:type="pct"/>
            <w:tcBorders>
              <w:top w:val="single" w:color="auto" w:sz="4" w:space="0"/>
              <w:left w:val="single" w:color="auto" w:sz="4" w:space="0"/>
              <w:bottom w:val="single" w:color="auto" w:sz="4" w:space="0"/>
              <w:right w:val="single" w:color="auto" w:sz="4" w:space="0"/>
            </w:tcBorders>
            <w:vAlign w:val="center"/>
          </w:tcPr>
          <w:p>
            <w:pPr>
              <w:spacing w:line="286" w:lineRule="auto"/>
              <w:jc w:val="center"/>
              <w:rPr>
                <w:rFonts w:ascii="宋体" w:hAnsi="宋体"/>
                <w:szCs w:val="21"/>
              </w:rPr>
            </w:pPr>
            <w:r>
              <w:rPr>
                <w:rFonts w:hint="eastAsia" w:ascii="宋体" w:hAnsi="宋体"/>
                <w:szCs w:val="21"/>
              </w:rPr>
              <w:t>141005</w:t>
            </w:r>
          </w:p>
        </w:tc>
        <w:tc>
          <w:tcPr>
            <w:tcW w:w="813" w:type="pct"/>
            <w:tcBorders>
              <w:top w:val="single" w:color="auto" w:sz="4" w:space="0"/>
              <w:left w:val="single" w:color="auto" w:sz="4" w:space="0"/>
              <w:bottom w:val="single" w:color="auto" w:sz="4" w:space="0"/>
              <w:right w:val="single" w:color="auto" w:sz="4" w:space="0"/>
            </w:tcBorders>
            <w:vAlign w:val="center"/>
          </w:tcPr>
          <w:p>
            <w:pPr>
              <w:spacing w:line="286" w:lineRule="auto"/>
              <w:jc w:val="center"/>
              <w:rPr>
                <w:rFonts w:ascii="宋体" w:hAnsi="宋体"/>
                <w:szCs w:val="21"/>
              </w:rPr>
            </w:pPr>
            <w:r>
              <w:rPr>
                <w:rFonts w:ascii="宋体" w:hAnsi="宋体"/>
                <w:szCs w:val="21"/>
              </w:rPr>
              <w:t>PHLS6001</w:t>
            </w:r>
            <w:r>
              <w:rPr>
                <w:rFonts w:hint="eastAsia" w:ascii="宋体" w:hAnsi="宋体"/>
                <w:szCs w:val="21"/>
              </w:rPr>
              <w:t>14</w:t>
            </w:r>
          </w:p>
        </w:tc>
        <w:tc>
          <w:tcPr>
            <w:tcW w:w="1636" w:type="pct"/>
            <w:tcBorders>
              <w:top w:val="single" w:color="auto" w:sz="4" w:space="0"/>
              <w:left w:val="single" w:color="auto" w:sz="4" w:space="0"/>
              <w:bottom w:val="single" w:color="auto" w:sz="4" w:space="0"/>
              <w:right w:val="single" w:color="auto" w:sz="4" w:space="0"/>
            </w:tcBorders>
            <w:vAlign w:val="center"/>
          </w:tcPr>
          <w:p>
            <w:pPr>
              <w:spacing w:line="286" w:lineRule="auto"/>
              <w:rPr>
                <w:szCs w:val="21"/>
                <w:lang w:val="zh-CN"/>
              </w:rPr>
            </w:pPr>
            <w:r>
              <w:rPr>
                <w:szCs w:val="21"/>
                <w:lang w:val="zh-CN"/>
              </w:rPr>
              <w:t>自然辩证法概论</w:t>
            </w:r>
          </w:p>
        </w:tc>
        <w:tc>
          <w:tcPr>
            <w:tcW w:w="406" w:type="pct"/>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lang w:val="zh-CN"/>
              </w:rPr>
            </w:pPr>
            <w:r>
              <w:rPr>
                <w:szCs w:val="21"/>
                <w:lang w:val="zh-CN"/>
              </w:rPr>
              <w:t>1</w:t>
            </w:r>
          </w:p>
        </w:tc>
        <w:tc>
          <w:tcPr>
            <w:tcW w:w="371" w:type="pct"/>
            <w:vMerge w:val="continue"/>
            <w:tcBorders>
              <w:left w:val="single" w:color="auto" w:sz="4" w:space="0"/>
              <w:right w:val="single" w:color="auto" w:sz="4" w:space="0"/>
            </w:tcBorders>
            <w:vAlign w:val="center"/>
          </w:tcPr>
          <w:p>
            <w:pPr>
              <w:spacing w:line="286" w:lineRule="auto"/>
              <w:jc w:val="center"/>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Merge w:val="continue"/>
            <w:tcBorders>
              <w:left w:val="single" w:color="auto" w:sz="4" w:space="0"/>
              <w:right w:val="single" w:color="auto" w:sz="4" w:space="0"/>
            </w:tcBorders>
            <w:vAlign w:val="center"/>
          </w:tcPr>
          <w:p>
            <w:pPr>
              <w:spacing w:line="286" w:lineRule="auto"/>
              <w:ind w:firstLine="420" w:firstLineChars="200"/>
              <w:jc w:val="center"/>
              <w:rPr>
                <w:szCs w:val="21"/>
                <w:lang w:val="zh-CN"/>
              </w:rPr>
            </w:pPr>
          </w:p>
        </w:tc>
        <w:tc>
          <w:tcPr>
            <w:tcW w:w="682" w:type="pct"/>
            <w:vMerge w:val="continue"/>
            <w:tcBorders>
              <w:left w:val="single" w:color="auto" w:sz="4" w:space="0"/>
              <w:bottom w:val="single" w:color="auto" w:sz="4" w:space="0"/>
              <w:right w:val="single" w:color="auto" w:sz="4" w:space="0"/>
            </w:tcBorders>
            <w:vAlign w:val="center"/>
          </w:tcPr>
          <w:p>
            <w:pPr>
              <w:spacing w:line="286" w:lineRule="auto"/>
              <w:ind w:firstLine="420" w:firstLineChars="200"/>
              <w:jc w:val="center"/>
              <w:rPr>
                <w:szCs w:val="21"/>
                <w:lang w:val="zh-CN"/>
              </w:rPr>
            </w:pPr>
          </w:p>
        </w:tc>
        <w:tc>
          <w:tcPr>
            <w:tcW w:w="631" w:type="pct"/>
            <w:tcBorders>
              <w:top w:val="single" w:color="auto" w:sz="4" w:space="0"/>
              <w:left w:val="single" w:color="auto" w:sz="4" w:space="0"/>
              <w:bottom w:val="single" w:color="auto" w:sz="4" w:space="0"/>
              <w:right w:val="single" w:color="auto" w:sz="4" w:space="0"/>
            </w:tcBorders>
          </w:tcPr>
          <w:p>
            <w:pPr>
              <w:spacing w:line="286" w:lineRule="auto"/>
              <w:jc w:val="center"/>
              <w:rPr>
                <w:rFonts w:ascii="宋体" w:hAnsi="宋体"/>
                <w:szCs w:val="21"/>
              </w:rPr>
            </w:pPr>
            <w:r>
              <w:rPr>
                <w:rFonts w:hint="eastAsia" w:ascii="宋体" w:hAnsi="宋体"/>
                <w:szCs w:val="21"/>
              </w:rPr>
              <w:t>121068</w:t>
            </w:r>
          </w:p>
        </w:tc>
        <w:tc>
          <w:tcPr>
            <w:tcW w:w="813" w:type="pct"/>
            <w:tcBorders>
              <w:top w:val="single" w:color="auto" w:sz="4" w:space="0"/>
              <w:left w:val="single" w:color="auto" w:sz="4" w:space="0"/>
              <w:bottom w:val="single" w:color="auto" w:sz="4" w:space="0"/>
              <w:right w:val="single" w:color="auto" w:sz="4" w:space="0"/>
            </w:tcBorders>
          </w:tcPr>
          <w:p>
            <w:pPr>
              <w:spacing w:line="286" w:lineRule="auto"/>
              <w:jc w:val="center"/>
              <w:rPr>
                <w:rFonts w:ascii="宋体" w:hAnsi="宋体"/>
                <w:szCs w:val="21"/>
              </w:rPr>
            </w:pPr>
            <w:r>
              <w:rPr>
                <w:rFonts w:hint="eastAsia" w:ascii="宋体" w:hAnsi="宋体"/>
                <w:szCs w:val="21"/>
              </w:rPr>
              <w:t>ENGL602212</w:t>
            </w:r>
          </w:p>
        </w:tc>
        <w:tc>
          <w:tcPr>
            <w:tcW w:w="1636" w:type="pct"/>
            <w:tcBorders>
              <w:top w:val="single" w:color="auto" w:sz="4" w:space="0"/>
              <w:left w:val="single" w:color="auto" w:sz="4" w:space="0"/>
              <w:bottom w:val="single" w:color="auto" w:sz="4" w:space="0"/>
              <w:right w:val="single" w:color="auto" w:sz="4" w:space="0"/>
            </w:tcBorders>
          </w:tcPr>
          <w:p>
            <w:pPr>
              <w:spacing w:line="286" w:lineRule="auto"/>
              <w:rPr>
                <w:szCs w:val="21"/>
                <w:lang w:val="zh-CN"/>
              </w:rPr>
            </w:pPr>
            <w:r>
              <w:rPr>
                <w:rFonts w:hint="eastAsia" w:ascii="Calibri" w:hAnsi="Calibri"/>
              </w:rPr>
              <w:t>医学英语</w:t>
            </w:r>
          </w:p>
        </w:tc>
        <w:tc>
          <w:tcPr>
            <w:tcW w:w="406" w:type="pct"/>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lang w:val="zh-CN"/>
              </w:rPr>
            </w:pPr>
            <w:r>
              <w:rPr>
                <w:szCs w:val="21"/>
                <w:lang w:val="zh-CN"/>
              </w:rPr>
              <w:t>2</w:t>
            </w:r>
          </w:p>
        </w:tc>
        <w:tc>
          <w:tcPr>
            <w:tcW w:w="371" w:type="pct"/>
            <w:vMerge w:val="continue"/>
            <w:tcBorders>
              <w:left w:val="single" w:color="auto" w:sz="4" w:space="0"/>
              <w:bottom w:val="single" w:color="auto" w:sz="4" w:space="0"/>
              <w:right w:val="single" w:color="auto" w:sz="4" w:space="0"/>
            </w:tcBorders>
            <w:vAlign w:val="center"/>
          </w:tcPr>
          <w:p>
            <w:pPr>
              <w:spacing w:line="286" w:lineRule="auto"/>
              <w:jc w:val="center"/>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Merge w:val="continue"/>
            <w:tcBorders>
              <w:left w:val="single" w:color="auto" w:sz="4" w:space="0"/>
              <w:right w:val="single" w:color="auto" w:sz="4" w:space="0"/>
            </w:tcBorders>
            <w:vAlign w:val="center"/>
          </w:tcPr>
          <w:p>
            <w:pPr>
              <w:spacing w:line="286" w:lineRule="auto"/>
              <w:ind w:firstLine="420" w:firstLineChars="200"/>
              <w:jc w:val="center"/>
              <w:rPr>
                <w:szCs w:val="21"/>
                <w:lang w:val="zh-CN"/>
              </w:rPr>
            </w:pPr>
          </w:p>
        </w:tc>
        <w:tc>
          <w:tcPr>
            <w:tcW w:w="682" w:type="pct"/>
            <w:vMerge w:val="restart"/>
            <w:tcBorders>
              <w:top w:val="single" w:color="auto" w:sz="4" w:space="0"/>
              <w:left w:val="single" w:color="auto" w:sz="4" w:space="0"/>
              <w:right w:val="single" w:color="auto" w:sz="4" w:space="0"/>
            </w:tcBorders>
            <w:vAlign w:val="center"/>
          </w:tcPr>
          <w:p>
            <w:pPr>
              <w:spacing w:line="286" w:lineRule="auto"/>
              <w:jc w:val="center"/>
              <w:rPr>
                <w:szCs w:val="21"/>
                <w:lang w:val="zh-CN"/>
              </w:rPr>
            </w:pPr>
            <w:r>
              <w:rPr>
                <w:szCs w:val="21"/>
                <w:lang w:val="zh-CN"/>
              </w:rPr>
              <w:t>院公共</w:t>
            </w:r>
          </w:p>
          <w:p>
            <w:pPr>
              <w:spacing w:line="286" w:lineRule="auto"/>
              <w:jc w:val="center"/>
              <w:rPr>
                <w:szCs w:val="21"/>
                <w:lang w:val="zh-CN"/>
              </w:rPr>
            </w:pPr>
            <w:r>
              <w:rPr>
                <w:szCs w:val="21"/>
                <w:lang w:val="zh-CN"/>
              </w:rPr>
              <w:t>学位课</w:t>
            </w:r>
          </w:p>
        </w:tc>
        <w:tc>
          <w:tcPr>
            <w:tcW w:w="631" w:type="pct"/>
            <w:tcBorders>
              <w:top w:val="single" w:color="auto" w:sz="4" w:space="0"/>
              <w:left w:val="single" w:color="auto" w:sz="4" w:space="0"/>
              <w:bottom w:val="single" w:color="auto" w:sz="4" w:space="0"/>
              <w:right w:val="single" w:color="auto" w:sz="4" w:space="0"/>
            </w:tcBorders>
            <w:vAlign w:val="center"/>
          </w:tcPr>
          <w:p>
            <w:pPr>
              <w:spacing w:line="286" w:lineRule="auto"/>
              <w:jc w:val="center"/>
              <w:rPr>
                <w:rFonts w:ascii="宋体" w:hAnsi="宋体"/>
                <w:szCs w:val="21"/>
              </w:rPr>
            </w:pPr>
            <w:r>
              <w:rPr>
                <w:rFonts w:hint="eastAsia" w:ascii="宋体" w:hAnsi="宋体"/>
                <w:szCs w:val="21"/>
              </w:rPr>
              <w:t>152050</w:t>
            </w:r>
          </w:p>
        </w:tc>
        <w:tc>
          <w:tcPr>
            <w:tcW w:w="813" w:type="pct"/>
            <w:tcBorders>
              <w:top w:val="single" w:color="auto" w:sz="4" w:space="0"/>
              <w:left w:val="single" w:color="auto" w:sz="4" w:space="0"/>
              <w:bottom w:val="single" w:color="auto" w:sz="4" w:space="0"/>
              <w:right w:val="single" w:color="auto" w:sz="4" w:space="0"/>
            </w:tcBorders>
            <w:vAlign w:val="center"/>
          </w:tcPr>
          <w:p>
            <w:pPr>
              <w:spacing w:line="286" w:lineRule="auto"/>
              <w:jc w:val="center"/>
              <w:rPr>
                <w:rFonts w:ascii="宋体" w:hAnsi="宋体"/>
                <w:szCs w:val="21"/>
              </w:rPr>
            </w:pPr>
            <w:r>
              <w:rPr>
                <w:rFonts w:ascii="宋体" w:hAnsi="宋体"/>
                <w:szCs w:val="21"/>
              </w:rPr>
              <w:t>PUBH6107</w:t>
            </w:r>
            <w:r>
              <w:rPr>
                <w:rFonts w:hint="eastAsia" w:ascii="宋体" w:hAnsi="宋体"/>
                <w:szCs w:val="21"/>
              </w:rPr>
              <w:t>15</w:t>
            </w:r>
          </w:p>
        </w:tc>
        <w:tc>
          <w:tcPr>
            <w:tcW w:w="1636" w:type="pct"/>
            <w:tcBorders>
              <w:top w:val="single" w:color="auto" w:sz="4" w:space="0"/>
              <w:left w:val="single" w:color="auto" w:sz="4" w:space="0"/>
              <w:bottom w:val="single" w:color="auto" w:sz="4" w:space="0"/>
              <w:right w:val="single" w:color="auto" w:sz="4" w:space="0"/>
            </w:tcBorders>
            <w:vAlign w:val="center"/>
          </w:tcPr>
          <w:p>
            <w:pPr>
              <w:spacing w:line="286" w:lineRule="auto"/>
              <w:rPr>
                <w:szCs w:val="21"/>
                <w:lang w:val="zh-CN"/>
              </w:rPr>
            </w:pPr>
            <w:r>
              <w:rPr>
                <w:szCs w:val="21"/>
                <w:lang w:val="zh-CN"/>
              </w:rPr>
              <w:t>医学统计学</w:t>
            </w:r>
          </w:p>
        </w:tc>
        <w:tc>
          <w:tcPr>
            <w:tcW w:w="406" w:type="pct"/>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lang w:val="zh-CN"/>
              </w:rPr>
            </w:pPr>
            <w:r>
              <w:rPr>
                <w:szCs w:val="21"/>
                <w:lang w:val="zh-CN"/>
              </w:rPr>
              <w:t>2</w:t>
            </w:r>
          </w:p>
        </w:tc>
        <w:tc>
          <w:tcPr>
            <w:tcW w:w="371" w:type="pct"/>
            <w:vMerge w:val="restart"/>
            <w:tcBorders>
              <w:top w:val="single" w:color="auto" w:sz="4" w:space="0"/>
              <w:left w:val="single" w:color="auto" w:sz="4" w:space="0"/>
              <w:right w:val="single" w:color="auto" w:sz="4" w:space="0"/>
            </w:tcBorders>
            <w:vAlign w:val="center"/>
          </w:tcPr>
          <w:p>
            <w:pPr>
              <w:spacing w:line="286" w:lineRule="auto"/>
              <w:jc w:val="center"/>
              <w:rPr>
                <w:szCs w:val="21"/>
                <w:lang w:val="zh-CN"/>
              </w:rPr>
            </w:pPr>
            <w:r>
              <w:rPr>
                <w:rFonts w:hint="eastAsia"/>
                <w:szCs w:val="21"/>
                <w:lang w:val="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Merge w:val="continue"/>
            <w:tcBorders>
              <w:left w:val="single" w:color="auto" w:sz="4" w:space="0"/>
              <w:right w:val="single" w:color="auto" w:sz="4" w:space="0"/>
            </w:tcBorders>
            <w:vAlign w:val="center"/>
          </w:tcPr>
          <w:p>
            <w:pPr>
              <w:spacing w:line="286" w:lineRule="auto"/>
              <w:ind w:firstLine="420" w:firstLineChars="200"/>
              <w:jc w:val="center"/>
              <w:rPr>
                <w:szCs w:val="21"/>
                <w:lang w:val="zh-CN"/>
              </w:rPr>
            </w:pPr>
          </w:p>
        </w:tc>
        <w:tc>
          <w:tcPr>
            <w:tcW w:w="682" w:type="pct"/>
            <w:vMerge w:val="continue"/>
            <w:tcBorders>
              <w:left w:val="single" w:color="auto" w:sz="4" w:space="0"/>
              <w:right w:val="single" w:color="auto" w:sz="4" w:space="0"/>
            </w:tcBorders>
            <w:vAlign w:val="center"/>
          </w:tcPr>
          <w:p>
            <w:pPr>
              <w:spacing w:line="286" w:lineRule="auto"/>
              <w:ind w:firstLine="420" w:firstLineChars="200"/>
              <w:jc w:val="center"/>
              <w:rPr>
                <w:szCs w:val="21"/>
                <w:lang w:val="zh-CN"/>
              </w:rPr>
            </w:pPr>
          </w:p>
        </w:tc>
        <w:tc>
          <w:tcPr>
            <w:tcW w:w="631" w:type="pct"/>
            <w:tcBorders>
              <w:top w:val="single" w:color="auto" w:sz="4" w:space="0"/>
              <w:left w:val="single" w:color="auto" w:sz="4" w:space="0"/>
              <w:right w:val="single" w:color="auto" w:sz="4" w:space="0"/>
            </w:tcBorders>
            <w:vAlign w:val="center"/>
          </w:tcPr>
          <w:p>
            <w:pPr>
              <w:spacing w:line="286" w:lineRule="auto"/>
              <w:jc w:val="center"/>
              <w:rPr>
                <w:rFonts w:ascii="宋体" w:hAnsi="宋体"/>
                <w:szCs w:val="21"/>
              </w:rPr>
            </w:pPr>
            <w:r>
              <w:rPr>
                <w:rFonts w:hint="eastAsia" w:ascii="宋体" w:hAnsi="宋体"/>
                <w:szCs w:val="21"/>
              </w:rPr>
              <w:t>152044</w:t>
            </w:r>
          </w:p>
        </w:tc>
        <w:tc>
          <w:tcPr>
            <w:tcW w:w="813" w:type="pct"/>
            <w:tcBorders>
              <w:top w:val="single" w:color="auto" w:sz="4" w:space="0"/>
              <w:left w:val="single" w:color="auto" w:sz="4" w:space="0"/>
              <w:right w:val="single" w:color="auto" w:sz="4" w:space="0"/>
            </w:tcBorders>
            <w:vAlign w:val="center"/>
          </w:tcPr>
          <w:p>
            <w:pPr>
              <w:spacing w:line="286" w:lineRule="auto"/>
              <w:jc w:val="center"/>
              <w:rPr>
                <w:rFonts w:ascii="宋体" w:hAnsi="宋体"/>
                <w:szCs w:val="21"/>
              </w:rPr>
            </w:pPr>
            <w:r>
              <w:rPr>
                <w:rFonts w:ascii="宋体" w:hAnsi="宋体"/>
                <w:szCs w:val="21"/>
              </w:rPr>
              <w:t>PUBH6101</w:t>
            </w:r>
            <w:r>
              <w:rPr>
                <w:rFonts w:hint="eastAsia" w:ascii="宋体" w:hAnsi="宋体"/>
                <w:szCs w:val="21"/>
              </w:rPr>
              <w:t>15</w:t>
            </w:r>
          </w:p>
        </w:tc>
        <w:tc>
          <w:tcPr>
            <w:tcW w:w="1636" w:type="pct"/>
            <w:tcBorders>
              <w:top w:val="single" w:color="auto" w:sz="4" w:space="0"/>
              <w:left w:val="single" w:color="auto" w:sz="4" w:space="0"/>
              <w:right w:val="single" w:color="auto" w:sz="4" w:space="0"/>
            </w:tcBorders>
            <w:vAlign w:val="center"/>
          </w:tcPr>
          <w:p>
            <w:pPr>
              <w:spacing w:line="286" w:lineRule="auto"/>
              <w:rPr>
                <w:szCs w:val="21"/>
                <w:lang w:val="zh-CN"/>
              </w:rPr>
            </w:pPr>
            <w:r>
              <w:rPr>
                <w:szCs w:val="21"/>
                <w:lang w:val="zh-CN"/>
              </w:rPr>
              <w:t>临床流行病学</w:t>
            </w:r>
          </w:p>
        </w:tc>
        <w:tc>
          <w:tcPr>
            <w:tcW w:w="406" w:type="pct"/>
            <w:tcBorders>
              <w:top w:val="single" w:color="auto" w:sz="4" w:space="0"/>
              <w:left w:val="single" w:color="auto" w:sz="4" w:space="0"/>
              <w:right w:val="single" w:color="auto" w:sz="4" w:space="0"/>
            </w:tcBorders>
            <w:vAlign w:val="center"/>
          </w:tcPr>
          <w:p>
            <w:pPr>
              <w:spacing w:line="286" w:lineRule="auto"/>
              <w:jc w:val="center"/>
              <w:rPr>
                <w:szCs w:val="21"/>
                <w:lang w:val="zh-CN"/>
              </w:rPr>
            </w:pPr>
            <w:r>
              <w:rPr>
                <w:szCs w:val="21"/>
                <w:lang w:val="zh-CN"/>
              </w:rPr>
              <w:t>2</w:t>
            </w:r>
          </w:p>
        </w:tc>
        <w:tc>
          <w:tcPr>
            <w:tcW w:w="371" w:type="pct"/>
            <w:vMerge w:val="continue"/>
            <w:tcBorders>
              <w:left w:val="single" w:color="auto" w:sz="4" w:space="0"/>
              <w:right w:val="single" w:color="auto" w:sz="4" w:space="0"/>
            </w:tcBorders>
            <w:vAlign w:val="center"/>
          </w:tcPr>
          <w:p>
            <w:pPr>
              <w:spacing w:line="286" w:lineRule="auto"/>
              <w:jc w:val="center"/>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Merge w:val="continue"/>
            <w:tcBorders>
              <w:left w:val="single" w:color="auto" w:sz="4" w:space="0"/>
              <w:right w:val="single" w:color="auto" w:sz="4" w:space="0"/>
            </w:tcBorders>
            <w:vAlign w:val="center"/>
          </w:tcPr>
          <w:p>
            <w:pPr>
              <w:spacing w:line="286" w:lineRule="auto"/>
              <w:ind w:firstLine="420" w:firstLineChars="200"/>
              <w:jc w:val="center"/>
              <w:rPr>
                <w:szCs w:val="21"/>
                <w:lang w:val="zh-CN"/>
              </w:rPr>
            </w:pPr>
          </w:p>
        </w:tc>
        <w:tc>
          <w:tcPr>
            <w:tcW w:w="682" w:type="pct"/>
            <w:vMerge w:val="restart"/>
            <w:tcBorders>
              <w:left w:val="single" w:color="auto" w:sz="4" w:space="0"/>
              <w:right w:val="single" w:color="auto" w:sz="4" w:space="0"/>
            </w:tcBorders>
            <w:vAlign w:val="center"/>
          </w:tcPr>
          <w:p>
            <w:pPr>
              <w:spacing w:line="286" w:lineRule="auto"/>
              <w:rPr>
                <w:szCs w:val="21"/>
                <w:lang w:val="zh-CN"/>
              </w:rPr>
            </w:pPr>
            <w:r>
              <w:rPr>
                <w:rFonts w:hint="eastAsia"/>
                <w:szCs w:val="21"/>
                <w:lang w:val="zh-CN"/>
              </w:rPr>
              <w:t>专业基础课(与住院医师课程衔接)</w:t>
            </w:r>
          </w:p>
        </w:tc>
        <w:tc>
          <w:tcPr>
            <w:tcW w:w="631" w:type="pct"/>
            <w:tcBorders>
              <w:top w:val="single" w:color="auto" w:sz="4" w:space="0"/>
              <w:left w:val="single" w:color="auto" w:sz="4" w:space="0"/>
              <w:right w:val="single" w:color="auto" w:sz="4" w:space="0"/>
            </w:tcBorders>
            <w:vAlign w:val="center"/>
          </w:tcPr>
          <w:p>
            <w:pPr>
              <w:spacing w:line="286" w:lineRule="auto"/>
              <w:jc w:val="center"/>
              <w:rPr>
                <w:rFonts w:ascii="宋体" w:hAnsi="宋体"/>
                <w:szCs w:val="21"/>
              </w:rPr>
            </w:pPr>
            <w:r>
              <w:rPr>
                <w:rFonts w:hint="eastAsia" w:ascii="宋体" w:hAnsi="宋体"/>
                <w:szCs w:val="21"/>
              </w:rPr>
              <w:t>152173</w:t>
            </w:r>
          </w:p>
        </w:tc>
        <w:tc>
          <w:tcPr>
            <w:tcW w:w="813" w:type="pct"/>
            <w:tcBorders>
              <w:top w:val="single" w:color="auto" w:sz="4" w:space="0"/>
              <w:left w:val="single" w:color="auto" w:sz="4" w:space="0"/>
              <w:right w:val="single" w:color="auto" w:sz="4" w:space="0"/>
            </w:tcBorders>
            <w:vAlign w:val="center"/>
          </w:tcPr>
          <w:p>
            <w:pPr>
              <w:spacing w:line="286" w:lineRule="auto"/>
              <w:jc w:val="center"/>
              <w:rPr>
                <w:rFonts w:ascii="宋体" w:hAnsi="宋体"/>
                <w:szCs w:val="21"/>
              </w:rPr>
            </w:pPr>
            <w:r>
              <w:rPr>
                <w:rFonts w:hint="eastAsia" w:ascii="宋体" w:hAnsi="宋体"/>
                <w:szCs w:val="21"/>
              </w:rPr>
              <w:t>CLIM611115</w:t>
            </w:r>
          </w:p>
        </w:tc>
        <w:tc>
          <w:tcPr>
            <w:tcW w:w="1636" w:type="pct"/>
            <w:tcBorders>
              <w:top w:val="single" w:color="auto" w:sz="4" w:space="0"/>
              <w:left w:val="single" w:color="auto" w:sz="4" w:space="0"/>
              <w:right w:val="single" w:color="auto" w:sz="4" w:space="0"/>
            </w:tcBorders>
            <w:vAlign w:val="center"/>
          </w:tcPr>
          <w:p>
            <w:pPr>
              <w:spacing w:line="286" w:lineRule="auto"/>
              <w:rPr>
                <w:szCs w:val="21"/>
              </w:rPr>
            </w:pPr>
            <w:r>
              <w:rPr>
                <w:rFonts w:hint="eastAsia"/>
                <w:szCs w:val="21"/>
              </w:rPr>
              <w:t>医学伦理与人际沟通</w:t>
            </w:r>
          </w:p>
        </w:tc>
        <w:tc>
          <w:tcPr>
            <w:tcW w:w="406" w:type="pct"/>
            <w:tcBorders>
              <w:top w:val="single" w:color="auto" w:sz="4" w:space="0"/>
              <w:left w:val="single" w:color="auto" w:sz="4" w:space="0"/>
              <w:right w:val="single" w:color="auto" w:sz="4" w:space="0"/>
            </w:tcBorders>
            <w:vAlign w:val="center"/>
          </w:tcPr>
          <w:p>
            <w:pPr>
              <w:spacing w:line="286" w:lineRule="auto"/>
              <w:jc w:val="center"/>
              <w:rPr>
                <w:szCs w:val="21"/>
              </w:rPr>
            </w:pPr>
            <w:r>
              <w:rPr>
                <w:rFonts w:hint="eastAsia"/>
                <w:szCs w:val="21"/>
              </w:rPr>
              <w:t>1</w:t>
            </w:r>
          </w:p>
        </w:tc>
        <w:tc>
          <w:tcPr>
            <w:tcW w:w="371" w:type="pct"/>
            <w:vMerge w:val="restart"/>
            <w:tcBorders>
              <w:left w:val="single" w:color="auto" w:sz="4" w:space="0"/>
              <w:right w:val="single" w:color="auto" w:sz="4" w:space="0"/>
            </w:tcBorders>
            <w:vAlign w:val="center"/>
          </w:tcPr>
          <w:p>
            <w:pPr>
              <w:spacing w:line="286" w:lineRule="auto"/>
              <w:jc w:val="center"/>
              <w:rPr>
                <w:szCs w:val="21"/>
                <w:lang w:val="zh-CN"/>
              </w:rPr>
            </w:pPr>
            <w:r>
              <w:rPr>
                <w:rFonts w:hint="eastAsia"/>
                <w:szCs w:val="21"/>
                <w:lang w:val="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Merge w:val="continue"/>
            <w:tcBorders>
              <w:left w:val="single" w:color="auto" w:sz="4" w:space="0"/>
              <w:right w:val="single" w:color="auto" w:sz="4" w:space="0"/>
            </w:tcBorders>
            <w:vAlign w:val="center"/>
          </w:tcPr>
          <w:p>
            <w:pPr>
              <w:spacing w:line="286" w:lineRule="auto"/>
              <w:ind w:firstLine="420" w:firstLineChars="200"/>
              <w:jc w:val="center"/>
              <w:rPr>
                <w:szCs w:val="21"/>
                <w:lang w:val="zh-CN"/>
              </w:rPr>
            </w:pPr>
          </w:p>
        </w:tc>
        <w:tc>
          <w:tcPr>
            <w:tcW w:w="682" w:type="pct"/>
            <w:vMerge w:val="continue"/>
            <w:tcBorders>
              <w:left w:val="single" w:color="auto" w:sz="4" w:space="0"/>
              <w:right w:val="single" w:color="auto" w:sz="4" w:space="0"/>
            </w:tcBorders>
            <w:vAlign w:val="center"/>
          </w:tcPr>
          <w:p>
            <w:pPr>
              <w:spacing w:line="286" w:lineRule="auto"/>
              <w:ind w:firstLine="420" w:firstLineChars="200"/>
              <w:jc w:val="center"/>
              <w:rPr>
                <w:szCs w:val="21"/>
                <w:lang w:val="zh-CN"/>
              </w:rPr>
            </w:pPr>
          </w:p>
        </w:tc>
        <w:tc>
          <w:tcPr>
            <w:tcW w:w="631" w:type="pct"/>
            <w:tcBorders>
              <w:top w:val="single" w:color="auto" w:sz="4" w:space="0"/>
              <w:left w:val="single" w:color="auto" w:sz="4" w:space="0"/>
              <w:right w:val="single" w:color="auto" w:sz="4" w:space="0"/>
            </w:tcBorders>
            <w:vAlign w:val="center"/>
          </w:tcPr>
          <w:p>
            <w:pPr>
              <w:spacing w:line="286" w:lineRule="auto"/>
              <w:jc w:val="center"/>
              <w:rPr>
                <w:rFonts w:ascii="宋体" w:hAnsi="宋体"/>
                <w:szCs w:val="21"/>
              </w:rPr>
            </w:pPr>
            <w:r>
              <w:rPr>
                <w:rFonts w:hint="eastAsia" w:ascii="宋体" w:hAnsi="宋体"/>
                <w:szCs w:val="21"/>
              </w:rPr>
              <w:t>152174</w:t>
            </w:r>
          </w:p>
        </w:tc>
        <w:tc>
          <w:tcPr>
            <w:tcW w:w="813" w:type="pct"/>
            <w:tcBorders>
              <w:top w:val="single" w:color="auto" w:sz="4" w:space="0"/>
              <w:left w:val="single" w:color="auto" w:sz="4" w:space="0"/>
              <w:right w:val="single" w:color="auto" w:sz="4" w:space="0"/>
            </w:tcBorders>
            <w:vAlign w:val="center"/>
          </w:tcPr>
          <w:p>
            <w:pPr>
              <w:spacing w:line="286" w:lineRule="auto"/>
              <w:jc w:val="center"/>
              <w:rPr>
                <w:rFonts w:ascii="宋体" w:hAnsi="宋体"/>
                <w:szCs w:val="21"/>
              </w:rPr>
            </w:pPr>
            <w:r>
              <w:rPr>
                <w:rFonts w:hint="eastAsia" w:ascii="宋体" w:hAnsi="宋体"/>
                <w:szCs w:val="21"/>
              </w:rPr>
              <w:t>CLIM611015</w:t>
            </w:r>
          </w:p>
        </w:tc>
        <w:tc>
          <w:tcPr>
            <w:tcW w:w="1636" w:type="pct"/>
            <w:tcBorders>
              <w:top w:val="single" w:color="auto" w:sz="4" w:space="0"/>
              <w:left w:val="single" w:color="auto" w:sz="4" w:space="0"/>
              <w:right w:val="single" w:color="auto" w:sz="4" w:space="0"/>
            </w:tcBorders>
            <w:vAlign w:val="center"/>
          </w:tcPr>
          <w:p>
            <w:pPr>
              <w:spacing w:line="286" w:lineRule="auto"/>
              <w:rPr>
                <w:szCs w:val="21"/>
              </w:rPr>
            </w:pPr>
            <w:r>
              <w:rPr>
                <w:rFonts w:hint="eastAsia"/>
                <w:szCs w:val="21"/>
              </w:rPr>
              <w:t>公共卫生与预防医学</w:t>
            </w:r>
          </w:p>
        </w:tc>
        <w:tc>
          <w:tcPr>
            <w:tcW w:w="406" w:type="pct"/>
            <w:tcBorders>
              <w:top w:val="single" w:color="auto" w:sz="4" w:space="0"/>
              <w:left w:val="single" w:color="auto" w:sz="4" w:space="0"/>
              <w:right w:val="single" w:color="auto" w:sz="4" w:space="0"/>
            </w:tcBorders>
            <w:vAlign w:val="center"/>
          </w:tcPr>
          <w:p>
            <w:pPr>
              <w:spacing w:line="286" w:lineRule="auto"/>
              <w:jc w:val="center"/>
              <w:rPr>
                <w:szCs w:val="21"/>
              </w:rPr>
            </w:pPr>
            <w:r>
              <w:rPr>
                <w:rFonts w:hint="eastAsia"/>
                <w:szCs w:val="21"/>
              </w:rPr>
              <w:t>1</w:t>
            </w:r>
          </w:p>
        </w:tc>
        <w:tc>
          <w:tcPr>
            <w:tcW w:w="371" w:type="pct"/>
            <w:vMerge w:val="continue"/>
            <w:tcBorders>
              <w:left w:val="single" w:color="auto" w:sz="4" w:space="0"/>
              <w:right w:val="single" w:color="auto" w:sz="4" w:space="0"/>
            </w:tcBorders>
            <w:vAlign w:val="center"/>
          </w:tcPr>
          <w:p>
            <w:pPr>
              <w:spacing w:line="286" w:lineRule="auto"/>
              <w:jc w:val="center"/>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Merge w:val="continue"/>
            <w:tcBorders>
              <w:left w:val="single" w:color="auto" w:sz="4" w:space="0"/>
              <w:right w:val="single" w:color="auto" w:sz="4" w:space="0"/>
            </w:tcBorders>
            <w:vAlign w:val="center"/>
          </w:tcPr>
          <w:p>
            <w:pPr>
              <w:spacing w:line="286" w:lineRule="auto"/>
              <w:ind w:firstLine="420" w:firstLineChars="200"/>
              <w:jc w:val="center"/>
              <w:rPr>
                <w:szCs w:val="21"/>
                <w:lang w:val="zh-CN"/>
              </w:rPr>
            </w:pPr>
          </w:p>
        </w:tc>
        <w:tc>
          <w:tcPr>
            <w:tcW w:w="682" w:type="pct"/>
            <w:vMerge w:val="continue"/>
            <w:tcBorders>
              <w:left w:val="single" w:color="auto" w:sz="4" w:space="0"/>
              <w:right w:val="single" w:color="auto" w:sz="4" w:space="0"/>
            </w:tcBorders>
            <w:vAlign w:val="center"/>
          </w:tcPr>
          <w:p>
            <w:pPr>
              <w:spacing w:line="286" w:lineRule="auto"/>
              <w:ind w:firstLine="420" w:firstLineChars="200"/>
              <w:jc w:val="center"/>
              <w:rPr>
                <w:szCs w:val="21"/>
                <w:lang w:val="zh-CN"/>
              </w:rPr>
            </w:pPr>
          </w:p>
        </w:tc>
        <w:tc>
          <w:tcPr>
            <w:tcW w:w="631" w:type="pct"/>
            <w:tcBorders>
              <w:top w:val="single" w:color="auto" w:sz="4" w:space="0"/>
              <w:left w:val="single" w:color="auto" w:sz="4" w:space="0"/>
              <w:right w:val="single" w:color="auto" w:sz="4" w:space="0"/>
            </w:tcBorders>
            <w:vAlign w:val="center"/>
          </w:tcPr>
          <w:p>
            <w:pPr>
              <w:spacing w:line="286" w:lineRule="auto"/>
              <w:jc w:val="center"/>
              <w:rPr>
                <w:rFonts w:ascii="宋体" w:hAnsi="宋体"/>
                <w:szCs w:val="21"/>
              </w:rPr>
            </w:pPr>
            <w:r>
              <w:rPr>
                <w:rFonts w:hint="eastAsia" w:ascii="宋体" w:hAnsi="宋体"/>
                <w:szCs w:val="21"/>
              </w:rPr>
              <w:t>152175</w:t>
            </w:r>
          </w:p>
        </w:tc>
        <w:tc>
          <w:tcPr>
            <w:tcW w:w="813" w:type="pct"/>
            <w:tcBorders>
              <w:top w:val="single" w:color="auto" w:sz="4" w:space="0"/>
              <w:left w:val="single" w:color="auto" w:sz="4" w:space="0"/>
              <w:right w:val="single" w:color="auto" w:sz="4" w:space="0"/>
            </w:tcBorders>
            <w:vAlign w:val="center"/>
          </w:tcPr>
          <w:p>
            <w:pPr>
              <w:spacing w:line="286" w:lineRule="auto"/>
              <w:jc w:val="center"/>
              <w:rPr>
                <w:rFonts w:ascii="宋体" w:hAnsi="宋体"/>
                <w:szCs w:val="21"/>
              </w:rPr>
            </w:pPr>
            <w:r>
              <w:rPr>
                <w:rFonts w:hint="eastAsia" w:ascii="宋体" w:hAnsi="宋体"/>
                <w:szCs w:val="21"/>
              </w:rPr>
              <w:t>CLIM610815</w:t>
            </w:r>
          </w:p>
        </w:tc>
        <w:tc>
          <w:tcPr>
            <w:tcW w:w="1636" w:type="pct"/>
            <w:tcBorders>
              <w:top w:val="single" w:color="auto" w:sz="4" w:space="0"/>
              <w:left w:val="single" w:color="auto" w:sz="4" w:space="0"/>
              <w:right w:val="single" w:color="auto" w:sz="4" w:space="0"/>
            </w:tcBorders>
            <w:vAlign w:val="center"/>
          </w:tcPr>
          <w:p>
            <w:pPr>
              <w:spacing w:line="286" w:lineRule="auto"/>
              <w:rPr>
                <w:szCs w:val="21"/>
              </w:rPr>
            </w:pPr>
            <w:r>
              <w:rPr>
                <w:rFonts w:hint="eastAsia"/>
                <w:szCs w:val="21"/>
              </w:rPr>
              <w:t>重点传染病防治知识</w:t>
            </w:r>
          </w:p>
        </w:tc>
        <w:tc>
          <w:tcPr>
            <w:tcW w:w="406" w:type="pct"/>
            <w:tcBorders>
              <w:top w:val="single" w:color="auto" w:sz="4" w:space="0"/>
              <w:left w:val="single" w:color="auto" w:sz="4" w:space="0"/>
              <w:right w:val="single" w:color="auto" w:sz="4" w:space="0"/>
            </w:tcBorders>
            <w:vAlign w:val="center"/>
          </w:tcPr>
          <w:p>
            <w:pPr>
              <w:spacing w:line="286" w:lineRule="auto"/>
              <w:jc w:val="center"/>
              <w:rPr>
                <w:szCs w:val="21"/>
              </w:rPr>
            </w:pPr>
            <w:r>
              <w:rPr>
                <w:rFonts w:hint="eastAsia"/>
                <w:szCs w:val="21"/>
              </w:rPr>
              <w:t>1</w:t>
            </w:r>
          </w:p>
        </w:tc>
        <w:tc>
          <w:tcPr>
            <w:tcW w:w="371" w:type="pct"/>
            <w:vMerge w:val="continue"/>
            <w:tcBorders>
              <w:left w:val="single" w:color="auto" w:sz="4" w:space="0"/>
              <w:right w:val="single" w:color="auto" w:sz="4" w:space="0"/>
            </w:tcBorders>
            <w:vAlign w:val="center"/>
          </w:tcPr>
          <w:p>
            <w:pPr>
              <w:spacing w:line="286" w:lineRule="auto"/>
              <w:jc w:val="center"/>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Merge w:val="continue"/>
            <w:tcBorders>
              <w:left w:val="single" w:color="auto" w:sz="4" w:space="0"/>
              <w:right w:val="single" w:color="auto" w:sz="4" w:space="0"/>
            </w:tcBorders>
            <w:vAlign w:val="center"/>
          </w:tcPr>
          <w:p>
            <w:pPr>
              <w:spacing w:line="286" w:lineRule="auto"/>
              <w:ind w:firstLine="420" w:firstLineChars="200"/>
              <w:jc w:val="center"/>
              <w:rPr>
                <w:szCs w:val="21"/>
                <w:lang w:val="zh-CN"/>
              </w:rPr>
            </w:pPr>
          </w:p>
        </w:tc>
        <w:tc>
          <w:tcPr>
            <w:tcW w:w="682" w:type="pct"/>
            <w:vMerge w:val="continue"/>
            <w:tcBorders>
              <w:left w:val="single" w:color="auto" w:sz="4" w:space="0"/>
              <w:right w:val="single" w:color="auto" w:sz="4" w:space="0"/>
            </w:tcBorders>
            <w:vAlign w:val="center"/>
          </w:tcPr>
          <w:p>
            <w:pPr>
              <w:spacing w:line="286" w:lineRule="auto"/>
              <w:ind w:firstLine="420" w:firstLineChars="200"/>
              <w:jc w:val="center"/>
              <w:rPr>
                <w:szCs w:val="21"/>
                <w:lang w:val="zh-CN"/>
              </w:rPr>
            </w:pPr>
          </w:p>
        </w:tc>
        <w:tc>
          <w:tcPr>
            <w:tcW w:w="631" w:type="pct"/>
            <w:tcBorders>
              <w:top w:val="single" w:color="auto" w:sz="4" w:space="0"/>
              <w:left w:val="single" w:color="auto" w:sz="4" w:space="0"/>
              <w:right w:val="single" w:color="auto" w:sz="4" w:space="0"/>
            </w:tcBorders>
            <w:vAlign w:val="center"/>
          </w:tcPr>
          <w:p>
            <w:pPr>
              <w:spacing w:line="286" w:lineRule="auto"/>
              <w:jc w:val="center"/>
              <w:rPr>
                <w:rFonts w:ascii="宋体" w:hAnsi="宋体"/>
                <w:szCs w:val="21"/>
              </w:rPr>
            </w:pPr>
            <w:r>
              <w:rPr>
                <w:rFonts w:hint="eastAsia" w:ascii="宋体" w:hAnsi="宋体"/>
                <w:szCs w:val="21"/>
              </w:rPr>
              <w:t>152176</w:t>
            </w:r>
          </w:p>
        </w:tc>
        <w:tc>
          <w:tcPr>
            <w:tcW w:w="813" w:type="pct"/>
            <w:tcBorders>
              <w:top w:val="single" w:color="auto" w:sz="4" w:space="0"/>
              <w:left w:val="single" w:color="auto" w:sz="4" w:space="0"/>
              <w:right w:val="single" w:color="auto" w:sz="4" w:space="0"/>
            </w:tcBorders>
            <w:vAlign w:val="center"/>
          </w:tcPr>
          <w:p>
            <w:pPr>
              <w:spacing w:line="286" w:lineRule="auto"/>
              <w:jc w:val="center"/>
              <w:rPr>
                <w:rFonts w:ascii="宋体" w:hAnsi="宋体"/>
                <w:szCs w:val="21"/>
              </w:rPr>
            </w:pPr>
            <w:r>
              <w:rPr>
                <w:rFonts w:hint="eastAsia" w:ascii="宋体" w:hAnsi="宋体"/>
                <w:szCs w:val="21"/>
              </w:rPr>
              <w:t>CLIM610615</w:t>
            </w:r>
          </w:p>
        </w:tc>
        <w:tc>
          <w:tcPr>
            <w:tcW w:w="1636" w:type="pct"/>
            <w:tcBorders>
              <w:top w:val="single" w:color="auto" w:sz="4" w:space="0"/>
              <w:left w:val="single" w:color="auto" w:sz="4" w:space="0"/>
              <w:right w:val="single" w:color="auto" w:sz="4" w:space="0"/>
            </w:tcBorders>
            <w:vAlign w:val="center"/>
          </w:tcPr>
          <w:p>
            <w:pPr>
              <w:spacing w:line="286" w:lineRule="auto"/>
              <w:rPr>
                <w:szCs w:val="21"/>
              </w:rPr>
            </w:pPr>
            <w:r>
              <w:rPr>
                <w:rFonts w:hint="eastAsia"/>
                <w:szCs w:val="21"/>
              </w:rPr>
              <w:t>循征医学</w:t>
            </w:r>
          </w:p>
        </w:tc>
        <w:tc>
          <w:tcPr>
            <w:tcW w:w="406" w:type="pct"/>
            <w:tcBorders>
              <w:top w:val="single" w:color="auto" w:sz="4" w:space="0"/>
              <w:left w:val="single" w:color="auto" w:sz="4" w:space="0"/>
              <w:right w:val="single" w:color="auto" w:sz="4" w:space="0"/>
            </w:tcBorders>
            <w:vAlign w:val="center"/>
          </w:tcPr>
          <w:p>
            <w:pPr>
              <w:spacing w:line="286" w:lineRule="auto"/>
              <w:jc w:val="center"/>
              <w:rPr>
                <w:szCs w:val="21"/>
              </w:rPr>
            </w:pPr>
            <w:r>
              <w:rPr>
                <w:rFonts w:hint="eastAsia"/>
                <w:szCs w:val="21"/>
              </w:rPr>
              <w:t>1</w:t>
            </w:r>
          </w:p>
        </w:tc>
        <w:tc>
          <w:tcPr>
            <w:tcW w:w="371" w:type="pct"/>
            <w:vMerge w:val="continue"/>
            <w:tcBorders>
              <w:left w:val="single" w:color="auto" w:sz="4" w:space="0"/>
              <w:right w:val="single" w:color="auto" w:sz="4" w:space="0"/>
            </w:tcBorders>
            <w:vAlign w:val="center"/>
          </w:tcPr>
          <w:p>
            <w:pPr>
              <w:spacing w:line="286" w:lineRule="auto"/>
              <w:jc w:val="center"/>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Merge w:val="continue"/>
            <w:tcBorders>
              <w:left w:val="single" w:color="auto" w:sz="4" w:space="0"/>
              <w:right w:val="single" w:color="auto" w:sz="4" w:space="0"/>
            </w:tcBorders>
            <w:vAlign w:val="center"/>
          </w:tcPr>
          <w:p>
            <w:pPr>
              <w:spacing w:line="286" w:lineRule="auto"/>
              <w:ind w:firstLine="420" w:firstLineChars="200"/>
              <w:jc w:val="center"/>
              <w:rPr>
                <w:szCs w:val="21"/>
                <w:lang w:val="zh-CN"/>
              </w:rPr>
            </w:pPr>
          </w:p>
        </w:tc>
        <w:tc>
          <w:tcPr>
            <w:tcW w:w="682" w:type="pct"/>
            <w:vMerge w:val="continue"/>
            <w:tcBorders>
              <w:left w:val="single" w:color="auto" w:sz="4" w:space="0"/>
              <w:right w:val="single" w:color="auto" w:sz="4" w:space="0"/>
            </w:tcBorders>
            <w:vAlign w:val="center"/>
          </w:tcPr>
          <w:p>
            <w:pPr>
              <w:spacing w:line="286" w:lineRule="auto"/>
              <w:ind w:firstLine="420" w:firstLineChars="200"/>
              <w:jc w:val="center"/>
              <w:rPr>
                <w:szCs w:val="21"/>
                <w:lang w:val="zh-CN"/>
              </w:rPr>
            </w:pPr>
          </w:p>
        </w:tc>
        <w:tc>
          <w:tcPr>
            <w:tcW w:w="631" w:type="pct"/>
            <w:tcBorders>
              <w:top w:val="single" w:color="auto" w:sz="4" w:space="0"/>
              <w:left w:val="single" w:color="auto" w:sz="4" w:space="0"/>
              <w:right w:val="single" w:color="auto" w:sz="4" w:space="0"/>
            </w:tcBorders>
            <w:vAlign w:val="center"/>
          </w:tcPr>
          <w:p>
            <w:pPr>
              <w:spacing w:line="286" w:lineRule="auto"/>
              <w:jc w:val="center"/>
              <w:rPr>
                <w:rFonts w:ascii="宋体" w:hAnsi="宋体"/>
                <w:szCs w:val="21"/>
              </w:rPr>
            </w:pPr>
            <w:r>
              <w:rPr>
                <w:rFonts w:hint="eastAsia" w:ascii="宋体" w:hAnsi="宋体"/>
                <w:szCs w:val="21"/>
              </w:rPr>
              <w:t>152177</w:t>
            </w:r>
          </w:p>
        </w:tc>
        <w:tc>
          <w:tcPr>
            <w:tcW w:w="813" w:type="pct"/>
            <w:tcBorders>
              <w:top w:val="single" w:color="auto" w:sz="4" w:space="0"/>
              <w:left w:val="single" w:color="auto" w:sz="4" w:space="0"/>
              <w:right w:val="single" w:color="auto" w:sz="4" w:space="0"/>
            </w:tcBorders>
            <w:vAlign w:val="center"/>
          </w:tcPr>
          <w:p>
            <w:pPr>
              <w:spacing w:line="286" w:lineRule="auto"/>
              <w:jc w:val="center"/>
              <w:rPr>
                <w:rFonts w:ascii="宋体" w:hAnsi="宋体"/>
                <w:szCs w:val="21"/>
              </w:rPr>
            </w:pPr>
            <w:r>
              <w:rPr>
                <w:rFonts w:hint="eastAsia" w:ascii="宋体" w:hAnsi="宋体"/>
                <w:szCs w:val="21"/>
              </w:rPr>
              <w:t>CLIM610915</w:t>
            </w:r>
          </w:p>
        </w:tc>
        <w:tc>
          <w:tcPr>
            <w:tcW w:w="1636" w:type="pct"/>
            <w:tcBorders>
              <w:top w:val="single" w:color="auto" w:sz="4" w:space="0"/>
              <w:left w:val="single" w:color="auto" w:sz="4" w:space="0"/>
              <w:right w:val="single" w:color="auto" w:sz="4" w:space="0"/>
            </w:tcBorders>
            <w:vAlign w:val="center"/>
          </w:tcPr>
          <w:p>
            <w:pPr>
              <w:spacing w:line="286" w:lineRule="auto"/>
              <w:rPr>
                <w:szCs w:val="21"/>
              </w:rPr>
            </w:pPr>
            <w:r>
              <w:rPr>
                <w:rFonts w:hint="eastAsia"/>
                <w:szCs w:val="21"/>
              </w:rPr>
              <w:t>卫生法律法规</w:t>
            </w:r>
          </w:p>
        </w:tc>
        <w:tc>
          <w:tcPr>
            <w:tcW w:w="406" w:type="pct"/>
            <w:tcBorders>
              <w:top w:val="single" w:color="auto" w:sz="4" w:space="0"/>
              <w:left w:val="single" w:color="auto" w:sz="4" w:space="0"/>
              <w:right w:val="single" w:color="auto" w:sz="4" w:space="0"/>
            </w:tcBorders>
            <w:vAlign w:val="center"/>
          </w:tcPr>
          <w:p>
            <w:pPr>
              <w:spacing w:line="286" w:lineRule="auto"/>
              <w:jc w:val="center"/>
              <w:rPr>
                <w:szCs w:val="21"/>
              </w:rPr>
            </w:pPr>
            <w:r>
              <w:rPr>
                <w:rFonts w:hint="eastAsia"/>
                <w:szCs w:val="21"/>
              </w:rPr>
              <w:t>1</w:t>
            </w:r>
          </w:p>
        </w:tc>
        <w:tc>
          <w:tcPr>
            <w:tcW w:w="371" w:type="pct"/>
            <w:vMerge w:val="continue"/>
            <w:tcBorders>
              <w:left w:val="single" w:color="auto" w:sz="4" w:space="0"/>
              <w:right w:val="single" w:color="auto" w:sz="4" w:space="0"/>
            </w:tcBorders>
            <w:vAlign w:val="center"/>
          </w:tcPr>
          <w:p>
            <w:pPr>
              <w:spacing w:line="286" w:lineRule="auto"/>
              <w:jc w:val="center"/>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Merge w:val="continue"/>
            <w:tcBorders>
              <w:left w:val="single" w:color="auto" w:sz="4" w:space="0"/>
              <w:right w:val="single" w:color="auto" w:sz="4" w:space="0"/>
            </w:tcBorders>
            <w:vAlign w:val="center"/>
          </w:tcPr>
          <w:p>
            <w:pPr>
              <w:spacing w:line="286" w:lineRule="auto"/>
              <w:ind w:firstLine="420" w:firstLineChars="200"/>
              <w:jc w:val="center"/>
              <w:rPr>
                <w:szCs w:val="21"/>
                <w:lang w:val="zh-CN"/>
              </w:rPr>
            </w:pPr>
          </w:p>
        </w:tc>
        <w:tc>
          <w:tcPr>
            <w:tcW w:w="682" w:type="pct"/>
            <w:vMerge w:val="restart"/>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lang w:val="zh-CN"/>
              </w:rPr>
            </w:pPr>
            <w:r>
              <w:rPr>
                <w:szCs w:val="21"/>
                <w:lang w:val="zh-CN"/>
              </w:rPr>
              <w:t>专业</w:t>
            </w:r>
          </w:p>
          <w:p>
            <w:pPr>
              <w:spacing w:line="286" w:lineRule="auto"/>
              <w:jc w:val="center"/>
              <w:rPr>
                <w:szCs w:val="21"/>
                <w:lang w:val="zh-CN"/>
              </w:rPr>
            </w:pPr>
            <w:r>
              <w:rPr>
                <w:szCs w:val="21"/>
                <w:lang w:val="zh-CN"/>
              </w:rPr>
              <w:t>必修课</w:t>
            </w:r>
          </w:p>
        </w:tc>
        <w:tc>
          <w:tcPr>
            <w:tcW w:w="631" w:type="pct"/>
            <w:tcBorders>
              <w:top w:val="single" w:color="auto" w:sz="4" w:space="0"/>
              <w:left w:val="single" w:color="auto" w:sz="4" w:space="0"/>
              <w:bottom w:val="single" w:color="auto" w:sz="4" w:space="0"/>
              <w:right w:val="single" w:color="auto" w:sz="4" w:space="0"/>
            </w:tcBorders>
            <w:vAlign w:val="center"/>
          </w:tcPr>
          <w:p>
            <w:pPr>
              <w:spacing w:line="286" w:lineRule="auto"/>
              <w:jc w:val="center"/>
              <w:rPr>
                <w:rFonts w:ascii="宋体" w:hAnsi="宋体"/>
                <w:szCs w:val="21"/>
              </w:rPr>
            </w:pPr>
            <w:r>
              <w:rPr>
                <w:rFonts w:hint="eastAsia" w:ascii="宋体" w:hAnsi="宋体"/>
                <w:szCs w:val="21"/>
              </w:rPr>
              <w:t>152079</w:t>
            </w:r>
          </w:p>
        </w:tc>
        <w:tc>
          <w:tcPr>
            <w:tcW w:w="813" w:type="pct"/>
            <w:tcBorders>
              <w:top w:val="single" w:color="auto" w:sz="4" w:space="0"/>
              <w:left w:val="single" w:color="auto" w:sz="4" w:space="0"/>
              <w:bottom w:val="single" w:color="auto" w:sz="4" w:space="0"/>
              <w:right w:val="single" w:color="auto" w:sz="4" w:space="0"/>
            </w:tcBorders>
            <w:vAlign w:val="center"/>
          </w:tcPr>
          <w:p>
            <w:pPr>
              <w:spacing w:line="286" w:lineRule="auto"/>
              <w:jc w:val="center"/>
              <w:rPr>
                <w:rFonts w:ascii="宋体" w:hAnsi="宋体"/>
                <w:szCs w:val="21"/>
              </w:rPr>
            </w:pPr>
            <w:r>
              <w:rPr>
                <w:rFonts w:ascii="宋体" w:hAnsi="宋体"/>
                <w:szCs w:val="21"/>
              </w:rPr>
              <w:t>ENGL7120</w:t>
            </w:r>
            <w:r>
              <w:rPr>
                <w:rFonts w:hint="eastAsia" w:ascii="宋体" w:hAnsi="宋体"/>
                <w:szCs w:val="21"/>
              </w:rPr>
              <w:t>15</w:t>
            </w:r>
          </w:p>
        </w:tc>
        <w:tc>
          <w:tcPr>
            <w:tcW w:w="1636" w:type="pct"/>
            <w:tcBorders>
              <w:top w:val="single" w:color="auto" w:sz="4" w:space="0"/>
              <w:left w:val="single" w:color="auto" w:sz="4" w:space="0"/>
              <w:bottom w:val="single" w:color="auto" w:sz="4" w:space="0"/>
              <w:right w:val="single" w:color="auto" w:sz="4" w:space="0"/>
            </w:tcBorders>
            <w:vAlign w:val="center"/>
          </w:tcPr>
          <w:p>
            <w:pPr>
              <w:spacing w:line="286" w:lineRule="auto"/>
              <w:rPr>
                <w:szCs w:val="21"/>
                <w:lang w:val="zh-CN"/>
              </w:rPr>
            </w:pPr>
            <w:r>
              <w:rPr>
                <w:szCs w:val="21"/>
                <w:lang w:val="zh-CN"/>
              </w:rPr>
              <w:t>医学专业英语（2）</w:t>
            </w:r>
          </w:p>
        </w:tc>
        <w:tc>
          <w:tcPr>
            <w:tcW w:w="406" w:type="pct"/>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lang w:val="zh-CN"/>
              </w:rPr>
            </w:pPr>
            <w:r>
              <w:rPr>
                <w:szCs w:val="21"/>
                <w:lang w:val="zh-CN"/>
              </w:rPr>
              <w:t>1</w:t>
            </w:r>
          </w:p>
        </w:tc>
        <w:tc>
          <w:tcPr>
            <w:tcW w:w="371" w:type="pct"/>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lang w:val="zh-CN"/>
              </w:rPr>
            </w:pPr>
            <w:r>
              <w:rPr>
                <w:szCs w:val="21"/>
                <w:lang w:val="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Merge w:val="continue"/>
            <w:tcBorders>
              <w:left w:val="single" w:color="auto" w:sz="4" w:space="0"/>
              <w:right w:val="single" w:color="auto" w:sz="4" w:space="0"/>
            </w:tcBorders>
            <w:vAlign w:val="center"/>
          </w:tcPr>
          <w:p>
            <w:pPr>
              <w:spacing w:line="286" w:lineRule="auto"/>
              <w:ind w:firstLine="420" w:firstLineChars="200"/>
              <w:jc w:val="center"/>
              <w:rPr>
                <w:szCs w:val="21"/>
                <w:lang w:val="zh-CN"/>
              </w:rPr>
            </w:pPr>
          </w:p>
        </w:tc>
        <w:tc>
          <w:tcPr>
            <w:tcW w:w="682" w:type="pct"/>
            <w:vMerge w:val="continue"/>
            <w:tcBorders>
              <w:top w:val="single" w:color="auto" w:sz="4" w:space="0"/>
              <w:left w:val="single" w:color="auto" w:sz="4" w:space="0"/>
              <w:bottom w:val="single" w:color="auto" w:sz="4" w:space="0"/>
              <w:right w:val="single" w:color="auto" w:sz="4" w:space="0"/>
            </w:tcBorders>
            <w:vAlign w:val="center"/>
          </w:tcPr>
          <w:p>
            <w:pPr>
              <w:spacing w:line="286" w:lineRule="auto"/>
              <w:ind w:firstLine="420" w:firstLineChars="200"/>
              <w:jc w:val="center"/>
              <w:rPr>
                <w:szCs w:val="21"/>
                <w:lang w:val="zh-CN"/>
              </w:rPr>
            </w:pPr>
          </w:p>
        </w:tc>
        <w:tc>
          <w:tcPr>
            <w:tcW w:w="631" w:type="pct"/>
            <w:tcBorders>
              <w:top w:val="single" w:color="auto" w:sz="4" w:space="0"/>
              <w:left w:val="single" w:color="auto" w:sz="4" w:space="0"/>
              <w:bottom w:val="single" w:color="auto" w:sz="4" w:space="0"/>
              <w:right w:val="single" w:color="auto" w:sz="4" w:space="0"/>
            </w:tcBorders>
            <w:vAlign w:val="center"/>
          </w:tcPr>
          <w:p>
            <w:pPr>
              <w:spacing w:line="286" w:lineRule="auto"/>
              <w:jc w:val="center"/>
              <w:rPr>
                <w:rFonts w:ascii="宋体" w:hAnsi="宋体"/>
                <w:szCs w:val="21"/>
              </w:rPr>
            </w:pPr>
            <w:r>
              <w:rPr>
                <w:rFonts w:hint="eastAsia" w:ascii="宋体" w:hAnsi="宋体"/>
                <w:szCs w:val="21"/>
              </w:rPr>
              <w:t>162005</w:t>
            </w:r>
          </w:p>
        </w:tc>
        <w:tc>
          <w:tcPr>
            <w:tcW w:w="813" w:type="pct"/>
            <w:tcBorders>
              <w:top w:val="single" w:color="auto" w:sz="4" w:space="0"/>
              <w:left w:val="single" w:color="auto" w:sz="4" w:space="0"/>
              <w:bottom w:val="single" w:color="auto" w:sz="4" w:space="0"/>
              <w:right w:val="single" w:color="auto" w:sz="4" w:space="0"/>
            </w:tcBorders>
            <w:vAlign w:val="center"/>
          </w:tcPr>
          <w:p>
            <w:pPr>
              <w:spacing w:line="286" w:lineRule="auto"/>
              <w:jc w:val="center"/>
              <w:rPr>
                <w:rFonts w:ascii="宋体" w:hAnsi="宋体"/>
                <w:szCs w:val="21"/>
              </w:rPr>
            </w:pPr>
            <w:r>
              <w:rPr>
                <w:rFonts w:ascii="宋体" w:hAnsi="宋体"/>
                <w:szCs w:val="21"/>
              </w:rPr>
              <w:t>STOM7102</w:t>
            </w:r>
            <w:r>
              <w:rPr>
                <w:rFonts w:hint="eastAsia" w:ascii="宋体" w:hAnsi="宋体"/>
                <w:szCs w:val="21"/>
              </w:rPr>
              <w:t>15</w:t>
            </w:r>
          </w:p>
        </w:tc>
        <w:tc>
          <w:tcPr>
            <w:tcW w:w="1636" w:type="pct"/>
            <w:tcBorders>
              <w:top w:val="single" w:color="auto" w:sz="4" w:space="0"/>
              <w:left w:val="single" w:color="auto" w:sz="4" w:space="0"/>
              <w:bottom w:val="single" w:color="auto" w:sz="4" w:space="0"/>
              <w:right w:val="single" w:color="auto" w:sz="4" w:space="0"/>
            </w:tcBorders>
            <w:vAlign w:val="center"/>
          </w:tcPr>
          <w:p>
            <w:pPr>
              <w:spacing w:line="286" w:lineRule="auto"/>
              <w:rPr>
                <w:szCs w:val="21"/>
                <w:lang w:val="zh-CN"/>
              </w:rPr>
            </w:pPr>
            <w:r>
              <w:rPr>
                <w:szCs w:val="21"/>
                <w:lang w:val="zh-CN"/>
              </w:rPr>
              <w:t>口腔临床医学（2）</w:t>
            </w:r>
          </w:p>
        </w:tc>
        <w:tc>
          <w:tcPr>
            <w:tcW w:w="406" w:type="pct"/>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lang w:val="zh-CN"/>
              </w:rPr>
            </w:pPr>
            <w:r>
              <w:rPr>
                <w:szCs w:val="21"/>
                <w:lang w:val="zh-CN"/>
              </w:rPr>
              <w:t>2</w:t>
            </w:r>
          </w:p>
        </w:tc>
        <w:tc>
          <w:tcPr>
            <w:tcW w:w="371" w:type="pct"/>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lang w:val="zh-CN"/>
              </w:rPr>
            </w:pPr>
            <w:r>
              <w:rPr>
                <w:szCs w:val="21"/>
                <w:lang w:val="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Merge w:val="continue"/>
            <w:tcBorders>
              <w:left w:val="single" w:color="auto" w:sz="4" w:space="0"/>
              <w:right w:val="single" w:color="auto" w:sz="4" w:space="0"/>
            </w:tcBorders>
            <w:vAlign w:val="center"/>
          </w:tcPr>
          <w:p>
            <w:pPr>
              <w:spacing w:line="286" w:lineRule="auto"/>
              <w:ind w:firstLine="420" w:firstLineChars="200"/>
              <w:jc w:val="center"/>
              <w:rPr>
                <w:szCs w:val="21"/>
                <w:lang w:val="zh-CN"/>
              </w:rPr>
            </w:pPr>
          </w:p>
        </w:tc>
        <w:tc>
          <w:tcPr>
            <w:tcW w:w="682" w:type="pct"/>
            <w:vMerge w:val="restart"/>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lang w:val="zh-CN"/>
              </w:rPr>
            </w:pPr>
            <w:r>
              <w:rPr>
                <w:szCs w:val="21"/>
                <w:lang w:val="zh-CN"/>
              </w:rPr>
              <w:t>临床实践</w:t>
            </w:r>
          </w:p>
        </w:tc>
        <w:tc>
          <w:tcPr>
            <w:tcW w:w="631" w:type="pct"/>
            <w:tcBorders>
              <w:top w:val="single" w:color="auto" w:sz="4" w:space="0"/>
              <w:left w:val="single" w:color="auto" w:sz="4" w:space="0"/>
              <w:right w:val="single" w:color="auto" w:sz="4" w:space="0"/>
            </w:tcBorders>
            <w:vAlign w:val="center"/>
          </w:tcPr>
          <w:p>
            <w:pPr>
              <w:spacing w:line="286" w:lineRule="auto"/>
              <w:jc w:val="center"/>
              <w:rPr>
                <w:rFonts w:ascii="宋体" w:hAnsi="宋体"/>
                <w:szCs w:val="21"/>
              </w:rPr>
            </w:pPr>
            <w:r>
              <w:rPr>
                <w:rFonts w:hint="eastAsia" w:ascii="宋体" w:hAnsi="宋体"/>
                <w:szCs w:val="21"/>
              </w:rPr>
              <w:t>152080</w:t>
            </w:r>
          </w:p>
        </w:tc>
        <w:tc>
          <w:tcPr>
            <w:tcW w:w="813" w:type="pct"/>
            <w:tcBorders>
              <w:top w:val="single" w:color="auto" w:sz="4" w:space="0"/>
              <w:left w:val="single" w:color="auto" w:sz="4" w:space="0"/>
              <w:right w:val="single" w:color="auto" w:sz="4" w:space="0"/>
            </w:tcBorders>
            <w:vAlign w:val="center"/>
          </w:tcPr>
          <w:p>
            <w:pPr>
              <w:spacing w:line="286" w:lineRule="auto"/>
              <w:jc w:val="center"/>
              <w:rPr>
                <w:rFonts w:ascii="宋体" w:hAnsi="宋体"/>
                <w:szCs w:val="21"/>
              </w:rPr>
            </w:pPr>
            <w:r>
              <w:rPr>
                <w:rFonts w:ascii="宋体" w:hAnsi="宋体"/>
                <w:szCs w:val="21"/>
              </w:rPr>
              <w:t>CLIM7501</w:t>
            </w:r>
            <w:r>
              <w:rPr>
                <w:rFonts w:hint="eastAsia" w:ascii="宋体" w:hAnsi="宋体"/>
                <w:szCs w:val="21"/>
              </w:rPr>
              <w:t>15</w:t>
            </w:r>
          </w:p>
        </w:tc>
        <w:tc>
          <w:tcPr>
            <w:tcW w:w="1636" w:type="pct"/>
            <w:tcBorders>
              <w:top w:val="single" w:color="auto" w:sz="4" w:space="0"/>
              <w:left w:val="single" w:color="auto" w:sz="4" w:space="0"/>
              <w:right w:val="single" w:color="auto" w:sz="4" w:space="0"/>
            </w:tcBorders>
            <w:vAlign w:val="center"/>
          </w:tcPr>
          <w:p>
            <w:pPr>
              <w:spacing w:line="286" w:lineRule="auto"/>
              <w:rPr>
                <w:szCs w:val="21"/>
              </w:rPr>
            </w:pPr>
            <w:r>
              <w:rPr>
                <w:szCs w:val="21"/>
              </w:rPr>
              <w:t>临床技能（2）</w:t>
            </w:r>
          </w:p>
        </w:tc>
        <w:tc>
          <w:tcPr>
            <w:tcW w:w="406" w:type="pct"/>
            <w:tcBorders>
              <w:top w:val="single" w:color="auto" w:sz="4" w:space="0"/>
              <w:left w:val="single" w:color="auto" w:sz="4" w:space="0"/>
              <w:right w:val="single" w:color="auto" w:sz="4" w:space="0"/>
            </w:tcBorders>
            <w:vAlign w:val="center"/>
          </w:tcPr>
          <w:p>
            <w:pPr>
              <w:spacing w:line="286" w:lineRule="auto"/>
              <w:jc w:val="center"/>
              <w:rPr>
                <w:szCs w:val="21"/>
                <w:lang w:val="zh-CN"/>
              </w:rPr>
            </w:pPr>
            <w:r>
              <w:rPr>
                <w:rFonts w:hint="eastAsia"/>
                <w:szCs w:val="21"/>
                <w:lang w:val="zh-CN"/>
              </w:rPr>
              <w:t>10</w:t>
            </w:r>
          </w:p>
        </w:tc>
        <w:tc>
          <w:tcPr>
            <w:tcW w:w="371" w:type="pct"/>
            <w:vMerge w:val="restart"/>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lang w:val="zh-CN"/>
              </w:rPr>
            </w:pPr>
            <w:r>
              <w:rPr>
                <w:rFonts w:hint="eastAsia"/>
                <w:szCs w:val="21"/>
                <w:lang w:val="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Merge w:val="continue"/>
            <w:tcBorders>
              <w:left w:val="single" w:color="auto" w:sz="4" w:space="0"/>
              <w:bottom w:val="single" w:color="auto" w:sz="4" w:space="0"/>
              <w:right w:val="single" w:color="auto" w:sz="4" w:space="0"/>
            </w:tcBorders>
            <w:vAlign w:val="center"/>
          </w:tcPr>
          <w:p>
            <w:pPr>
              <w:spacing w:line="286" w:lineRule="auto"/>
              <w:ind w:firstLine="420" w:firstLineChars="200"/>
              <w:jc w:val="center"/>
              <w:rPr>
                <w:szCs w:val="21"/>
                <w:lang w:val="zh-CN"/>
              </w:rPr>
            </w:pPr>
          </w:p>
        </w:tc>
        <w:tc>
          <w:tcPr>
            <w:tcW w:w="682" w:type="pct"/>
            <w:vMerge w:val="continue"/>
            <w:tcBorders>
              <w:top w:val="single" w:color="auto" w:sz="4" w:space="0"/>
              <w:left w:val="single" w:color="auto" w:sz="4" w:space="0"/>
              <w:bottom w:val="single" w:color="auto" w:sz="4" w:space="0"/>
              <w:right w:val="single" w:color="auto" w:sz="4" w:space="0"/>
            </w:tcBorders>
            <w:vAlign w:val="center"/>
          </w:tcPr>
          <w:p>
            <w:pPr>
              <w:spacing w:line="286" w:lineRule="auto"/>
              <w:ind w:firstLine="420" w:firstLineChars="200"/>
              <w:jc w:val="center"/>
              <w:rPr>
                <w:szCs w:val="21"/>
                <w:lang w:val="zh-CN"/>
              </w:rPr>
            </w:pPr>
          </w:p>
        </w:tc>
        <w:tc>
          <w:tcPr>
            <w:tcW w:w="631" w:type="pct"/>
            <w:tcBorders>
              <w:top w:val="single" w:color="auto" w:sz="4" w:space="0"/>
              <w:left w:val="single" w:color="auto" w:sz="4" w:space="0"/>
              <w:bottom w:val="single" w:color="auto" w:sz="4" w:space="0"/>
              <w:right w:val="single" w:color="auto" w:sz="4" w:space="0"/>
            </w:tcBorders>
            <w:vAlign w:val="center"/>
          </w:tcPr>
          <w:p>
            <w:pPr>
              <w:spacing w:line="286" w:lineRule="auto"/>
              <w:jc w:val="center"/>
              <w:rPr>
                <w:rFonts w:ascii="宋体" w:hAnsi="宋体"/>
                <w:szCs w:val="21"/>
              </w:rPr>
            </w:pPr>
            <w:r>
              <w:rPr>
                <w:rFonts w:hint="eastAsia" w:ascii="宋体" w:hAnsi="宋体"/>
                <w:szCs w:val="21"/>
              </w:rPr>
              <w:t>152081</w:t>
            </w:r>
          </w:p>
        </w:tc>
        <w:tc>
          <w:tcPr>
            <w:tcW w:w="813" w:type="pct"/>
            <w:tcBorders>
              <w:top w:val="single" w:color="auto" w:sz="4" w:space="0"/>
              <w:left w:val="single" w:color="auto" w:sz="4" w:space="0"/>
              <w:bottom w:val="single" w:color="auto" w:sz="4" w:space="0"/>
              <w:right w:val="single" w:color="auto" w:sz="4" w:space="0"/>
            </w:tcBorders>
            <w:vAlign w:val="center"/>
          </w:tcPr>
          <w:p>
            <w:pPr>
              <w:spacing w:line="286" w:lineRule="auto"/>
              <w:jc w:val="center"/>
              <w:rPr>
                <w:rFonts w:ascii="宋体" w:hAnsi="宋体"/>
                <w:szCs w:val="21"/>
              </w:rPr>
            </w:pPr>
            <w:r>
              <w:rPr>
                <w:rFonts w:ascii="宋体" w:hAnsi="宋体"/>
                <w:szCs w:val="21"/>
              </w:rPr>
              <w:t>CLIM7502</w:t>
            </w:r>
            <w:r>
              <w:rPr>
                <w:rFonts w:hint="eastAsia" w:ascii="宋体" w:hAnsi="宋体"/>
                <w:szCs w:val="21"/>
              </w:rPr>
              <w:t>15</w:t>
            </w:r>
          </w:p>
        </w:tc>
        <w:tc>
          <w:tcPr>
            <w:tcW w:w="1636" w:type="pct"/>
            <w:tcBorders>
              <w:top w:val="single" w:color="auto" w:sz="4" w:space="0"/>
              <w:left w:val="single" w:color="auto" w:sz="4" w:space="0"/>
              <w:bottom w:val="single" w:color="auto" w:sz="4" w:space="0"/>
              <w:right w:val="single" w:color="auto" w:sz="4" w:space="0"/>
            </w:tcBorders>
            <w:vAlign w:val="center"/>
          </w:tcPr>
          <w:p>
            <w:pPr>
              <w:spacing w:line="286" w:lineRule="auto"/>
              <w:rPr>
                <w:szCs w:val="21"/>
                <w:lang w:val="zh-CN"/>
              </w:rPr>
            </w:pPr>
            <w:r>
              <w:rPr>
                <w:szCs w:val="21"/>
                <w:lang w:val="zh-CN"/>
              </w:rPr>
              <w:t>临床思维能力（2）</w:t>
            </w:r>
          </w:p>
        </w:tc>
        <w:tc>
          <w:tcPr>
            <w:tcW w:w="406" w:type="pct"/>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lang w:val="zh-CN"/>
              </w:rPr>
            </w:pPr>
            <w:r>
              <w:rPr>
                <w:szCs w:val="21"/>
                <w:lang w:val="zh-CN"/>
              </w:rPr>
              <w:t>8</w:t>
            </w:r>
          </w:p>
        </w:tc>
        <w:tc>
          <w:tcPr>
            <w:tcW w:w="371" w:type="pct"/>
            <w:vMerge w:val="continue"/>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Merge w:val="restart"/>
            <w:tcBorders>
              <w:top w:val="single" w:color="auto" w:sz="4" w:space="0"/>
              <w:left w:val="single" w:color="auto" w:sz="4" w:space="0"/>
              <w:right w:val="single" w:color="auto" w:sz="4" w:space="0"/>
            </w:tcBorders>
            <w:vAlign w:val="center"/>
          </w:tcPr>
          <w:p>
            <w:pPr>
              <w:spacing w:line="286" w:lineRule="auto"/>
              <w:ind w:firstLine="105" w:firstLineChars="50"/>
              <w:jc w:val="center"/>
              <w:rPr>
                <w:szCs w:val="21"/>
                <w:lang w:val="zh-CN"/>
              </w:rPr>
            </w:pPr>
            <w:r>
              <w:rPr>
                <w:szCs w:val="21"/>
                <w:lang w:val="zh-CN"/>
              </w:rPr>
              <w:t>必修</w:t>
            </w:r>
          </w:p>
          <w:p>
            <w:pPr>
              <w:spacing w:line="286" w:lineRule="auto"/>
              <w:ind w:firstLine="105" w:firstLineChars="50"/>
              <w:jc w:val="center"/>
              <w:rPr>
                <w:szCs w:val="21"/>
                <w:lang w:val="zh-CN"/>
              </w:rPr>
            </w:pPr>
            <w:r>
              <w:rPr>
                <w:szCs w:val="21"/>
                <w:lang w:val="zh-CN"/>
              </w:rPr>
              <w:t>环节</w:t>
            </w:r>
          </w:p>
        </w:tc>
        <w:tc>
          <w:tcPr>
            <w:tcW w:w="682" w:type="pct"/>
            <w:vMerge w:val="restart"/>
            <w:tcBorders>
              <w:top w:val="single" w:color="auto" w:sz="4" w:space="0"/>
              <w:left w:val="single" w:color="auto" w:sz="4" w:space="0"/>
              <w:right w:val="single" w:color="auto" w:sz="4" w:space="0"/>
            </w:tcBorders>
            <w:vAlign w:val="center"/>
          </w:tcPr>
          <w:p>
            <w:pPr>
              <w:spacing w:line="286" w:lineRule="auto"/>
              <w:jc w:val="center"/>
              <w:rPr>
                <w:rFonts w:ascii="宋体" w:hAnsi="宋体"/>
                <w:szCs w:val="21"/>
                <w:lang w:val="zh-CN"/>
              </w:rPr>
            </w:pPr>
            <w:r>
              <w:rPr>
                <w:rFonts w:ascii="宋体" w:hAnsi="宋体"/>
                <w:szCs w:val="21"/>
                <w:lang w:val="zh-CN"/>
              </w:rPr>
              <w:t>/</w:t>
            </w:r>
          </w:p>
        </w:tc>
        <w:tc>
          <w:tcPr>
            <w:tcW w:w="631" w:type="pct"/>
            <w:tcBorders>
              <w:top w:val="single" w:color="auto" w:sz="4" w:space="0"/>
              <w:left w:val="single" w:color="auto" w:sz="4" w:space="0"/>
              <w:bottom w:val="single" w:color="auto" w:sz="4" w:space="0"/>
              <w:right w:val="single" w:color="auto" w:sz="4" w:space="0"/>
            </w:tcBorders>
            <w:vAlign w:val="center"/>
          </w:tcPr>
          <w:p>
            <w:pPr>
              <w:spacing w:line="286" w:lineRule="auto"/>
              <w:jc w:val="center"/>
              <w:rPr>
                <w:rFonts w:ascii="宋体" w:hAnsi="宋体"/>
                <w:szCs w:val="21"/>
              </w:rPr>
            </w:pPr>
            <w:r>
              <w:rPr>
                <w:rFonts w:hint="eastAsia" w:ascii="宋体" w:hAnsi="宋体"/>
                <w:szCs w:val="21"/>
              </w:rPr>
              <w:t>001997</w:t>
            </w:r>
          </w:p>
        </w:tc>
        <w:tc>
          <w:tcPr>
            <w:tcW w:w="813" w:type="pct"/>
            <w:tcBorders>
              <w:top w:val="single" w:color="auto" w:sz="4" w:space="0"/>
              <w:left w:val="single" w:color="auto" w:sz="4" w:space="0"/>
              <w:bottom w:val="single" w:color="auto" w:sz="4" w:space="0"/>
              <w:right w:val="single" w:color="auto" w:sz="4" w:space="0"/>
            </w:tcBorders>
            <w:vAlign w:val="center"/>
          </w:tcPr>
          <w:p>
            <w:pPr>
              <w:spacing w:line="286" w:lineRule="auto"/>
              <w:jc w:val="center"/>
              <w:rPr>
                <w:rFonts w:ascii="宋体" w:hAnsi="宋体"/>
                <w:szCs w:val="21"/>
              </w:rPr>
            </w:pPr>
            <w:r>
              <w:rPr>
                <w:rFonts w:ascii="宋体" w:hAnsi="宋体"/>
                <w:szCs w:val="21"/>
              </w:rPr>
              <w:t>BXHJ6003</w:t>
            </w:r>
            <w:r>
              <w:rPr>
                <w:rFonts w:hint="eastAsia" w:ascii="宋体" w:hAnsi="宋体"/>
                <w:szCs w:val="21"/>
              </w:rPr>
              <w:t>99</w:t>
            </w:r>
          </w:p>
        </w:tc>
        <w:tc>
          <w:tcPr>
            <w:tcW w:w="1636" w:type="pct"/>
            <w:tcBorders>
              <w:top w:val="single" w:color="auto" w:sz="4" w:space="0"/>
              <w:left w:val="single" w:color="auto" w:sz="4" w:space="0"/>
              <w:bottom w:val="single" w:color="auto" w:sz="4" w:space="0"/>
              <w:right w:val="single" w:color="auto" w:sz="4" w:space="0"/>
            </w:tcBorders>
            <w:vAlign w:val="center"/>
          </w:tcPr>
          <w:p>
            <w:pPr>
              <w:tabs>
                <w:tab w:val="left" w:pos="360"/>
              </w:tabs>
              <w:spacing w:line="286" w:lineRule="auto"/>
              <w:rPr>
                <w:szCs w:val="21"/>
              </w:rPr>
            </w:pPr>
            <w:r>
              <w:rPr>
                <w:szCs w:val="21"/>
              </w:rPr>
              <w:t>学术活动（讲座）硕</w:t>
            </w:r>
          </w:p>
        </w:tc>
        <w:tc>
          <w:tcPr>
            <w:tcW w:w="406" w:type="pct"/>
            <w:tcBorders>
              <w:top w:val="single" w:color="auto" w:sz="4" w:space="0"/>
              <w:left w:val="single" w:color="auto" w:sz="4" w:space="0"/>
              <w:bottom w:val="single" w:color="auto" w:sz="4" w:space="0"/>
              <w:right w:val="single" w:color="auto" w:sz="4" w:space="0"/>
            </w:tcBorders>
            <w:vAlign w:val="center"/>
          </w:tcPr>
          <w:p>
            <w:pPr>
              <w:spacing w:line="286" w:lineRule="auto"/>
              <w:ind w:right="-42" w:rightChars="-20"/>
              <w:jc w:val="center"/>
              <w:rPr>
                <w:szCs w:val="21"/>
              </w:rPr>
            </w:pPr>
            <w:r>
              <w:rPr>
                <w:szCs w:val="21"/>
              </w:rPr>
              <w:t>1</w:t>
            </w:r>
          </w:p>
        </w:tc>
        <w:tc>
          <w:tcPr>
            <w:tcW w:w="371" w:type="pct"/>
            <w:vMerge w:val="restart"/>
            <w:tcBorders>
              <w:top w:val="single" w:color="auto" w:sz="4" w:space="0"/>
              <w:left w:val="single" w:color="auto" w:sz="4" w:space="0"/>
              <w:right w:val="single" w:color="auto" w:sz="4" w:space="0"/>
            </w:tcBorders>
            <w:vAlign w:val="center"/>
          </w:tcPr>
          <w:p>
            <w:pPr>
              <w:spacing w:line="286" w:lineRule="auto"/>
              <w:jc w:val="center"/>
              <w:rPr>
                <w:szCs w:val="21"/>
                <w:lang w:val="zh-CN"/>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Merge w:val="continue"/>
            <w:tcBorders>
              <w:left w:val="single" w:color="auto" w:sz="4" w:space="0"/>
              <w:right w:val="single" w:color="auto" w:sz="4" w:space="0"/>
            </w:tcBorders>
            <w:vAlign w:val="center"/>
          </w:tcPr>
          <w:p>
            <w:pPr>
              <w:spacing w:line="286" w:lineRule="auto"/>
              <w:jc w:val="center"/>
              <w:rPr>
                <w:szCs w:val="21"/>
                <w:lang w:val="zh-CN"/>
              </w:rPr>
            </w:pPr>
          </w:p>
        </w:tc>
        <w:tc>
          <w:tcPr>
            <w:tcW w:w="682" w:type="pct"/>
            <w:vMerge w:val="continue"/>
            <w:tcBorders>
              <w:left w:val="single" w:color="auto" w:sz="4" w:space="0"/>
              <w:right w:val="single" w:color="auto" w:sz="4" w:space="0"/>
            </w:tcBorders>
            <w:vAlign w:val="center"/>
          </w:tcPr>
          <w:p>
            <w:pPr>
              <w:spacing w:line="286" w:lineRule="auto"/>
              <w:jc w:val="center"/>
              <w:rPr>
                <w:szCs w:val="21"/>
                <w:lang w:val="zh-CN"/>
              </w:rPr>
            </w:pPr>
          </w:p>
        </w:tc>
        <w:tc>
          <w:tcPr>
            <w:tcW w:w="631" w:type="pct"/>
            <w:tcBorders>
              <w:top w:val="single" w:color="auto" w:sz="4" w:space="0"/>
              <w:left w:val="single" w:color="auto" w:sz="4" w:space="0"/>
              <w:bottom w:val="single" w:color="auto" w:sz="4" w:space="0"/>
              <w:right w:val="single" w:color="auto" w:sz="4" w:space="0"/>
            </w:tcBorders>
            <w:vAlign w:val="center"/>
          </w:tcPr>
          <w:p>
            <w:pPr>
              <w:spacing w:line="286" w:lineRule="auto"/>
              <w:jc w:val="center"/>
              <w:rPr>
                <w:rFonts w:ascii="宋体" w:hAnsi="宋体"/>
                <w:szCs w:val="21"/>
              </w:rPr>
            </w:pPr>
            <w:r>
              <w:rPr>
                <w:rFonts w:hint="eastAsia" w:ascii="宋体" w:hAnsi="宋体"/>
                <w:szCs w:val="21"/>
              </w:rPr>
              <w:t>001983</w:t>
            </w:r>
          </w:p>
        </w:tc>
        <w:tc>
          <w:tcPr>
            <w:tcW w:w="813" w:type="pct"/>
            <w:tcBorders>
              <w:top w:val="single" w:color="auto" w:sz="4" w:space="0"/>
              <w:left w:val="single" w:color="auto" w:sz="4" w:space="0"/>
              <w:bottom w:val="single" w:color="auto" w:sz="4" w:space="0"/>
              <w:right w:val="single" w:color="auto" w:sz="4" w:space="0"/>
            </w:tcBorders>
            <w:vAlign w:val="center"/>
          </w:tcPr>
          <w:p>
            <w:pPr>
              <w:spacing w:line="286" w:lineRule="auto"/>
              <w:jc w:val="center"/>
              <w:rPr>
                <w:rFonts w:ascii="宋体" w:hAnsi="宋体"/>
                <w:szCs w:val="21"/>
              </w:rPr>
            </w:pPr>
            <w:r>
              <w:rPr>
                <w:rFonts w:ascii="宋体" w:hAnsi="宋体"/>
                <w:szCs w:val="21"/>
              </w:rPr>
              <w:t>BXHJ6007</w:t>
            </w:r>
            <w:r>
              <w:rPr>
                <w:rFonts w:hint="eastAsia" w:ascii="宋体" w:hAnsi="宋体"/>
                <w:szCs w:val="21"/>
              </w:rPr>
              <w:t>99</w:t>
            </w:r>
          </w:p>
        </w:tc>
        <w:tc>
          <w:tcPr>
            <w:tcW w:w="1636" w:type="pct"/>
            <w:tcBorders>
              <w:top w:val="single" w:color="auto" w:sz="4" w:space="0"/>
              <w:left w:val="single" w:color="auto" w:sz="4" w:space="0"/>
              <w:bottom w:val="single" w:color="auto" w:sz="4" w:space="0"/>
              <w:right w:val="single" w:color="auto" w:sz="4" w:space="0"/>
            </w:tcBorders>
            <w:vAlign w:val="center"/>
          </w:tcPr>
          <w:p>
            <w:pPr>
              <w:tabs>
                <w:tab w:val="left" w:pos="360"/>
              </w:tabs>
              <w:spacing w:line="286" w:lineRule="auto"/>
              <w:rPr>
                <w:szCs w:val="21"/>
              </w:rPr>
            </w:pPr>
            <w:r>
              <w:rPr>
                <w:szCs w:val="21"/>
              </w:rPr>
              <w:t>中期考核（硕）</w:t>
            </w:r>
          </w:p>
        </w:tc>
        <w:tc>
          <w:tcPr>
            <w:tcW w:w="406" w:type="pct"/>
            <w:tcBorders>
              <w:top w:val="single" w:color="auto" w:sz="4" w:space="0"/>
              <w:left w:val="single" w:color="auto" w:sz="4" w:space="0"/>
              <w:bottom w:val="single" w:color="auto" w:sz="4" w:space="0"/>
              <w:right w:val="single" w:color="auto" w:sz="4" w:space="0"/>
            </w:tcBorders>
            <w:vAlign w:val="center"/>
          </w:tcPr>
          <w:p>
            <w:pPr>
              <w:spacing w:line="286" w:lineRule="auto"/>
              <w:ind w:right="-42" w:rightChars="-20"/>
              <w:jc w:val="center"/>
              <w:rPr>
                <w:szCs w:val="21"/>
              </w:rPr>
            </w:pPr>
            <w:r>
              <w:rPr>
                <w:szCs w:val="21"/>
              </w:rPr>
              <w:t>3</w:t>
            </w:r>
          </w:p>
        </w:tc>
        <w:tc>
          <w:tcPr>
            <w:tcW w:w="371" w:type="pct"/>
            <w:vMerge w:val="continue"/>
            <w:tcBorders>
              <w:left w:val="single" w:color="auto" w:sz="4" w:space="0"/>
              <w:right w:val="single" w:color="auto" w:sz="4" w:space="0"/>
            </w:tcBorders>
            <w:vAlign w:val="center"/>
          </w:tcPr>
          <w:p>
            <w:pPr>
              <w:spacing w:line="286" w:lineRule="auto"/>
              <w:ind w:firstLine="420" w:firstLineChars="200"/>
              <w:jc w:val="center"/>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Merge w:val="continue"/>
            <w:tcBorders>
              <w:left w:val="single" w:color="auto" w:sz="4" w:space="0"/>
              <w:right w:val="single" w:color="auto" w:sz="4" w:space="0"/>
            </w:tcBorders>
            <w:vAlign w:val="center"/>
          </w:tcPr>
          <w:p>
            <w:pPr>
              <w:spacing w:line="286" w:lineRule="auto"/>
              <w:jc w:val="center"/>
              <w:rPr>
                <w:szCs w:val="21"/>
                <w:lang w:val="zh-CN"/>
              </w:rPr>
            </w:pPr>
          </w:p>
        </w:tc>
        <w:tc>
          <w:tcPr>
            <w:tcW w:w="682" w:type="pct"/>
            <w:vMerge w:val="continue"/>
            <w:tcBorders>
              <w:left w:val="single" w:color="auto" w:sz="4" w:space="0"/>
              <w:right w:val="single" w:color="auto" w:sz="4" w:space="0"/>
            </w:tcBorders>
            <w:vAlign w:val="center"/>
          </w:tcPr>
          <w:p>
            <w:pPr>
              <w:spacing w:line="286" w:lineRule="auto"/>
              <w:jc w:val="center"/>
              <w:rPr>
                <w:szCs w:val="21"/>
                <w:lang w:val="zh-CN"/>
              </w:rPr>
            </w:pPr>
          </w:p>
        </w:tc>
        <w:tc>
          <w:tcPr>
            <w:tcW w:w="631" w:type="pct"/>
            <w:tcBorders>
              <w:top w:val="single" w:color="auto" w:sz="4" w:space="0"/>
              <w:left w:val="single" w:color="auto" w:sz="4" w:space="0"/>
              <w:bottom w:val="single" w:color="auto" w:sz="4" w:space="0"/>
              <w:right w:val="single" w:color="auto" w:sz="4" w:space="0"/>
            </w:tcBorders>
          </w:tcPr>
          <w:p>
            <w:pPr>
              <w:spacing w:line="286" w:lineRule="auto"/>
              <w:jc w:val="center"/>
              <w:rPr>
                <w:rFonts w:hint="eastAsia" w:ascii="宋体" w:hAnsi="宋体"/>
                <w:szCs w:val="21"/>
              </w:rPr>
            </w:pPr>
            <w:r>
              <w:rPr>
                <w:rFonts w:hint="eastAsia" w:ascii="宋体" w:hAnsi="宋体"/>
                <w:szCs w:val="21"/>
              </w:rPr>
              <w:t>001954</w:t>
            </w:r>
          </w:p>
        </w:tc>
        <w:tc>
          <w:tcPr>
            <w:tcW w:w="813" w:type="pct"/>
            <w:tcBorders>
              <w:top w:val="single" w:color="auto" w:sz="4" w:space="0"/>
              <w:left w:val="single" w:color="auto" w:sz="4" w:space="0"/>
              <w:bottom w:val="single" w:color="auto" w:sz="4" w:space="0"/>
              <w:right w:val="single" w:color="auto" w:sz="4" w:space="0"/>
            </w:tcBorders>
            <w:vAlign w:val="center"/>
          </w:tcPr>
          <w:p>
            <w:pPr>
              <w:spacing w:line="286" w:lineRule="auto"/>
              <w:jc w:val="center"/>
              <w:rPr>
                <w:rFonts w:ascii="宋体" w:hAnsi="宋体"/>
                <w:szCs w:val="21"/>
              </w:rPr>
            </w:pPr>
            <w:r>
              <w:rPr>
                <w:rFonts w:hint="eastAsia" w:ascii="宋体" w:hAnsi="宋体"/>
                <w:szCs w:val="21"/>
              </w:rPr>
              <w:t>B</w:t>
            </w:r>
            <w:r>
              <w:rPr>
                <w:rFonts w:ascii="宋体" w:hAnsi="宋体"/>
                <w:szCs w:val="21"/>
              </w:rPr>
              <w:t>XHJ602499</w:t>
            </w:r>
          </w:p>
        </w:tc>
        <w:tc>
          <w:tcPr>
            <w:tcW w:w="1636" w:type="pct"/>
            <w:tcBorders>
              <w:top w:val="single" w:color="auto" w:sz="4" w:space="0"/>
              <w:left w:val="single" w:color="auto" w:sz="4" w:space="0"/>
              <w:bottom w:val="single" w:color="auto" w:sz="4" w:space="0"/>
              <w:right w:val="single" w:color="auto" w:sz="4" w:space="0"/>
            </w:tcBorders>
            <w:vAlign w:val="center"/>
          </w:tcPr>
          <w:p>
            <w:pPr>
              <w:tabs>
                <w:tab w:val="left" w:pos="360"/>
              </w:tabs>
              <w:spacing w:line="286" w:lineRule="auto"/>
              <w:rPr>
                <w:szCs w:val="21"/>
              </w:rPr>
            </w:pPr>
            <w:r>
              <w:rPr>
                <w:rFonts w:hint="eastAsia"/>
                <w:kern w:val="0"/>
                <w:szCs w:val="21"/>
              </w:rPr>
              <w:t>劳动教育</w:t>
            </w:r>
          </w:p>
        </w:tc>
        <w:tc>
          <w:tcPr>
            <w:tcW w:w="406" w:type="pct"/>
            <w:tcBorders>
              <w:top w:val="single" w:color="auto" w:sz="4" w:space="0"/>
              <w:left w:val="single" w:color="auto" w:sz="4" w:space="0"/>
              <w:bottom w:val="single" w:color="auto" w:sz="4" w:space="0"/>
              <w:right w:val="single" w:color="auto" w:sz="4" w:space="0"/>
            </w:tcBorders>
            <w:vAlign w:val="center"/>
          </w:tcPr>
          <w:p>
            <w:pPr>
              <w:spacing w:line="286" w:lineRule="auto"/>
              <w:ind w:right="-42" w:rightChars="-20"/>
              <w:jc w:val="center"/>
              <w:rPr>
                <w:szCs w:val="21"/>
              </w:rPr>
            </w:pPr>
            <w:r>
              <w:rPr>
                <w:rFonts w:hint="eastAsia"/>
                <w:kern w:val="0"/>
                <w:szCs w:val="21"/>
              </w:rPr>
              <w:t>0</w:t>
            </w:r>
          </w:p>
        </w:tc>
        <w:tc>
          <w:tcPr>
            <w:tcW w:w="371" w:type="pct"/>
            <w:vMerge w:val="continue"/>
            <w:tcBorders>
              <w:left w:val="single" w:color="auto" w:sz="4" w:space="0"/>
              <w:right w:val="single" w:color="auto" w:sz="4" w:space="0"/>
            </w:tcBorders>
            <w:vAlign w:val="center"/>
          </w:tcPr>
          <w:p>
            <w:pPr>
              <w:spacing w:line="286" w:lineRule="auto"/>
              <w:ind w:firstLine="420" w:firstLineChars="200"/>
              <w:jc w:val="center"/>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Merge w:val="continue"/>
            <w:tcBorders>
              <w:left w:val="single" w:color="auto" w:sz="4" w:space="0"/>
              <w:right w:val="single" w:color="auto" w:sz="4" w:space="0"/>
            </w:tcBorders>
            <w:vAlign w:val="center"/>
          </w:tcPr>
          <w:p>
            <w:pPr>
              <w:spacing w:line="286" w:lineRule="auto"/>
              <w:jc w:val="center"/>
              <w:rPr>
                <w:szCs w:val="21"/>
                <w:lang w:val="zh-CN"/>
              </w:rPr>
            </w:pPr>
          </w:p>
        </w:tc>
        <w:tc>
          <w:tcPr>
            <w:tcW w:w="682" w:type="pct"/>
            <w:vMerge w:val="continue"/>
            <w:tcBorders>
              <w:left w:val="single" w:color="auto" w:sz="4" w:space="0"/>
              <w:right w:val="single" w:color="auto" w:sz="4" w:space="0"/>
            </w:tcBorders>
            <w:vAlign w:val="center"/>
          </w:tcPr>
          <w:p>
            <w:pPr>
              <w:spacing w:line="286" w:lineRule="auto"/>
              <w:jc w:val="center"/>
              <w:rPr>
                <w:rFonts w:hint="eastAsia"/>
                <w:szCs w:val="21"/>
              </w:rPr>
            </w:pPr>
          </w:p>
        </w:tc>
        <w:tc>
          <w:tcPr>
            <w:tcW w:w="631" w:type="pct"/>
            <w:tcBorders>
              <w:top w:val="single" w:color="auto" w:sz="4" w:space="0"/>
              <w:left w:val="single" w:color="auto" w:sz="4" w:space="0"/>
              <w:bottom w:val="single" w:color="auto" w:sz="4" w:space="0"/>
              <w:right w:val="single" w:color="auto" w:sz="4" w:space="0"/>
            </w:tcBorders>
          </w:tcPr>
          <w:p>
            <w:pPr>
              <w:spacing w:line="286" w:lineRule="auto"/>
              <w:jc w:val="center"/>
              <w:rPr>
                <w:rFonts w:hint="eastAsia" w:ascii="宋体" w:hAnsi="宋体"/>
                <w:szCs w:val="21"/>
              </w:rPr>
            </w:pPr>
            <w:r>
              <w:rPr>
                <w:rFonts w:hint="eastAsia" w:ascii="宋体" w:hAnsi="宋体"/>
                <w:szCs w:val="21"/>
              </w:rPr>
              <w:t>001955</w:t>
            </w:r>
          </w:p>
        </w:tc>
        <w:tc>
          <w:tcPr>
            <w:tcW w:w="813" w:type="pct"/>
            <w:tcBorders>
              <w:top w:val="single" w:color="auto" w:sz="4" w:space="0"/>
              <w:left w:val="single" w:color="auto" w:sz="4" w:space="0"/>
              <w:bottom w:val="single" w:color="auto" w:sz="4" w:space="0"/>
              <w:right w:val="single" w:color="auto" w:sz="4" w:space="0"/>
            </w:tcBorders>
            <w:vAlign w:val="center"/>
          </w:tcPr>
          <w:p>
            <w:pPr>
              <w:spacing w:line="286" w:lineRule="auto"/>
              <w:jc w:val="center"/>
              <w:rPr>
                <w:rFonts w:hint="eastAsia" w:ascii="宋体" w:hAnsi="宋体"/>
                <w:szCs w:val="21"/>
              </w:rPr>
            </w:pPr>
            <w:r>
              <w:rPr>
                <w:rFonts w:hint="eastAsia" w:ascii="宋体" w:hAnsi="宋体"/>
                <w:szCs w:val="21"/>
              </w:rPr>
              <w:t>B</w:t>
            </w:r>
            <w:r>
              <w:rPr>
                <w:rFonts w:ascii="宋体" w:hAnsi="宋体"/>
                <w:szCs w:val="21"/>
              </w:rPr>
              <w:t>XHJ602399</w:t>
            </w:r>
          </w:p>
        </w:tc>
        <w:tc>
          <w:tcPr>
            <w:tcW w:w="1636" w:type="pct"/>
            <w:tcBorders>
              <w:top w:val="single" w:color="auto" w:sz="4" w:space="0"/>
              <w:left w:val="single" w:color="auto" w:sz="4" w:space="0"/>
              <w:bottom w:val="single" w:color="auto" w:sz="4" w:space="0"/>
              <w:right w:val="single" w:color="auto" w:sz="4" w:space="0"/>
            </w:tcBorders>
            <w:vAlign w:val="center"/>
          </w:tcPr>
          <w:p>
            <w:pPr>
              <w:tabs>
                <w:tab w:val="left" w:pos="360"/>
              </w:tabs>
              <w:spacing w:line="286" w:lineRule="auto"/>
              <w:rPr>
                <w:rFonts w:hint="eastAsia"/>
                <w:kern w:val="0"/>
                <w:szCs w:val="21"/>
              </w:rPr>
            </w:pPr>
            <w:r>
              <w:rPr>
                <w:rFonts w:hint="eastAsia"/>
                <w:kern w:val="0"/>
                <w:szCs w:val="21"/>
              </w:rPr>
              <w:t>美育</w:t>
            </w:r>
          </w:p>
        </w:tc>
        <w:tc>
          <w:tcPr>
            <w:tcW w:w="406" w:type="pct"/>
            <w:tcBorders>
              <w:top w:val="single" w:color="auto" w:sz="4" w:space="0"/>
              <w:left w:val="single" w:color="auto" w:sz="4" w:space="0"/>
              <w:bottom w:val="single" w:color="auto" w:sz="4" w:space="0"/>
              <w:right w:val="single" w:color="auto" w:sz="4" w:space="0"/>
            </w:tcBorders>
            <w:vAlign w:val="center"/>
          </w:tcPr>
          <w:p>
            <w:pPr>
              <w:spacing w:line="286" w:lineRule="auto"/>
              <w:ind w:right="-42" w:rightChars="-20"/>
              <w:jc w:val="center"/>
              <w:rPr>
                <w:rFonts w:hint="eastAsia"/>
                <w:kern w:val="0"/>
                <w:szCs w:val="21"/>
              </w:rPr>
            </w:pPr>
            <w:r>
              <w:rPr>
                <w:rFonts w:hint="eastAsia"/>
                <w:kern w:val="0"/>
                <w:szCs w:val="21"/>
              </w:rPr>
              <w:t>0</w:t>
            </w:r>
          </w:p>
        </w:tc>
        <w:tc>
          <w:tcPr>
            <w:tcW w:w="371" w:type="pct"/>
            <w:vMerge w:val="continue"/>
            <w:tcBorders>
              <w:left w:val="single" w:color="auto" w:sz="4" w:space="0"/>
              <w:right w:val="single" w:color="auto" w:sz="4" w:space="0"/>
            </w:tcBorders>
            <w:vAlign w:val="center"/>
          </w:tcPr>
          <w:p>
            <w:pPr>
              <w:spacing w:line="286" w:lineRule="auto"/>
              <w:ind w:firstLine="420" w:firstLineChars="200"/>
              <w:jc w:val="center"/>
              <w:rPr>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7" w:type="pct"/>
            <w:vMerge w:val="continue"/>
            <w:tcBorders>
              <w:left w:val="single" w:color="auto" w:sz="4" w:space="0"/>
              <w:right w:val="single" w:color="auto" w:sz="4" w:space="0"/>
            </w:tcBorders>
            <w:vAlign w:val="center"/>
          </w:tcPr>
          <w:p>
            <w:pPr>
              <w:spacing w:line="286" w:lineRule="auto"/>
              <w:jc w:val="center"/>
              <w:rPr>
                <w:szCs w:val="21"/>
                <w:lang w:val="zh-CN"/>
              </w:rPr>
            </w:pPr>
          </w:p>
        </w:tc>
        <w:tc>
          <w:tcPr>
            <w:tcW w:w="682" w:type="pct"/>
            <w:vMerge w:val="continue"/>
            <w:tcBorders>
              <w:left w:val="single" w:color="auto" w:sz="4" w:space="0"/>
              <w:right w:val="single" w:color="auto" w:sz="4" w:space="0"/>
            </w:tcBorders>
            <w:vAlign w:val="center"/>
          </w:tcPr>
          <w:p>
            <w:pPr>
              <w:spacing w:line="286" w:lineRule="auto"/>
              <w:jc w:val="center"/>
              <w:rPr>
                <w:rFonts w:hint="eastAsia"/>
                <w:kern w:val="0"/>
                <w:szCs w:val="21"/>
              </w:rPr>
            </w:pPr>
          </w:p>
        </w:tc>
        <w:tc>
          <w:tcPr>
            <w:tcW w:w="631" w:type="pct"/>
            <w:tcBorders>
              <w:top w:val="single" w:color="auto" w:sz="4" w:space="0"/>
              <w:left w:val="single" w:color="auto" w:sz="4" w:space="0"/>
              <w:bottom w:val="single" w:color="auto" w:sz="4" w:space="0"/>
              <w:right w:val="single" w:color="auto" w:sz="4" w:space="0"/>
            </w:tcBorders>
          </w:tcPr>
          <w:p>
            <w:pPr>
              <w:spacing w:line="286" w:lineRule="auto"/>
              <w:jc w:val="center"/>
              <w:rPr>
                <w:rFonts w:hint="eastAsia" w:ascii="宋体" w:hAnsi="宋体"/>
                <w:szCs w:val="21"/>
              </w:rPr>
            </w:pPr>
            <w:r>
              <w:rPr>
                <w:rFonts w:hint="eastAsia" w:ascii="宋体" w:hAnsi="宋体"/>
                <w:szCs w:val="21"/>
              </w:rPr>
              <w:t>001956</w:t>
            </w:r>
          </w:p>
        </w:tc>
        <w:tc>
          <w:tcPr>
            <w:tcW w:w="813" w:type="pct"/>
            <w:tcBorders>
              <w:top w:val="single" w:color="auto" w:sz="4" w:space="0"/>
              <w:left w:val="single" w:color="auto" w:sz="4" w:space="0"/>
              <w:bottom w:val="single" w:color="auto" w:sz="4" w:space="0"/>
              <w:right w:val="single" w:color="auto" w:sz="4" w:space="0"/>
            </w:tcBorders>
            <w:vAlign w:val="center"/>
          </w:tcPr>
          <w:p>
            <w:pPr>
              <w:spacing w:line="286" w:lineRule="auto"/>
              <w:jc w:val="center"/>
              <w:rPr>
                <w:rFonts w:hint="eastAsia" w:ascii="宋体" w:hAnsi="宋体"/>
                <w:szCs w:val="21"/>
              </w:rPr>
            </w:pPr>
            <w:r>
              <w:rPr>
                <w:rFonts w:hint="eastAsia" w:ascii="宋体" w:hAnsi="宋体"/>
                <w:szCs w:val="21"/>
              </w:rPr>
              <w:t>B</w:t>
            </w:r>
            <w:r>
              <w:rPr>
                <w:rFonts w:ascii="宋体" w:hAnsi="宋体"/>
                <w:szCs w:val="21"/>
              </w:rPr>
              <w:t>XHJ602299</w:t>
            </w:r>
          </w:p>
        </w:tc>
        <w:tc>
          <w:tcPr>
            <w:tcW w:w="1636" w:type="pct"/>
            <w:tcBorders>
              <w:top w:val="single" w:color="auto" w:sz="4" w:space="0"/>
              <w:left w:val="single" w:color="auto" w:sz="4" w:space="0"/>
              <w:bottom w:val="single" w:color="auto" w:sz="4" w:space="0"/>
              <w:right w:val="single" w:color="auto" w:sz="4" w:space="0"/>
            </w:tcBorders>
            <w:vAlign w:val="center"/>
          </w:tcPr>
          <w:p>
            <w:pPr>
              <w:tabs>
                <w:tab w:val="left" w:pos="360"/>
              </w:tabs>
              <w:spacing w:line="286" w:lineRule="auto"/>
              <w:rPr>
                <w:rFonts w:hint="eastAsia"/>
                <w:kern w:val="0"/>
                <w:szCs w:val="21"/>
              </w:rPr>
            </w:pPr>
            <w:r>
              <w:rPr>
                <w:rFonts w:hint="eastAsia"/>
                <w:kern w:val="0"/>
                <w:szCs w:val="21"/>
              </w:rPr>
              <w:t>体育</w:t>
            </w:r>
          </w:p>
        </w:tc>
        <w:tc>
          <w:tcPr>
            <w:tcW w:w="406" w:type="pct"/>
            <w:tcBorders>
              <w:top w:val="single" w:color="auto" w:sz="4" w:space="0"/>
              <w:left w:val="single" w:color="auto" w:sz="4" w:space="0"/>
              <w:bottom w:val="single" w:color="auto" w:sz="4" w:space="0"/>
              <w:right w:val="single" w:color="auto" w:sz="4" w:space="0"/>
            </w:tcBorders>
            <w:vAlign w:val="center"/>
          </w:tcPr>
          <w:p>
            <w:pPr>
              <w:spacing w:line="286" w:lineRule="auto"/>
              <w:ind w:right="-42" w:rightChars="-20"/>
              <w:jc w:val="center"/>
              <w:rPr>
                <w:rFonts w:hint="eastAsia"/>
                <w:kern w:val="0"/>
                <w:szCs w:val="21"/>
              </w:rPr>
            </w:pPr>
            <w:r>
              <w:rPr>
                <w:rFonts w:hint="eastAsia"/>
                <w:kern w:val="0"/>
                <w:szCs w:val="21"/>
              </w:rPr>
              <w:t>0</w:t>
            </w:r>
          </w:p>
        </w:tc>
        <w:tc>
          <w:tcPr>
            <w:tcW w:w="371" w:type="pct"/>
            <w:vMerge w:val="continue"/>
            <w:tcBorders>
              <w:left w:val="single" w:color="auto" w:sz="4" w:space="0"/>
              <w:right w:val="single" w:color="auto" w:sz="4" w:space="0"/>
            </w:tcBorders>
            <w:vAlign w:val="center"/>
          </w:tcPr>
          <w:p>
            <w:pPr>
              <w:spacing w:line="286" w:lineRule="auto"/>
              <w:ind w:firstLine="420" w:firstLineChars="200"/>
              <w:jc w:val="center"/>
              <w:rPr>
                <w:szCs w:val="21"/>
                <w:lang w:val="zh-CN"/>
              </w:rPr>
            </w:pPr>
          </w:p>
        </w:tc>
      </w:tr>
    </w:tbl>
    <w:p>
      <w:pPr>
        <w:keepNext w:val="0"/>
        <w:keepLines w:val="0"/>
        <w:pageBreakBefore w:val="0"/>
        <w:widowControl w:val="0"/>
        <w:kinsoku/>
        <w:wordWrap/>
        <w:overflowPunct/>
        <w:topLinePunct w:val="0"/>
        <w:autoSpaceDE/>
        <w:autoSpaceDN/>
        <w:bidi w:val="0"/>
        <w:adjustRightInd/>
        <w:snapToGrid/>
        <w:spacing w:after="120" w:afterLines="50" w:line="300" w:lineRule="auto"/>
        <w:ind w:firstLine="430" w:firstLineChars="205"/>
        <w:textAlignment w:val="auto"/>
        <w:rPr>
          <w:szCs w:val="21"/>
        </w:rPr>
      </w:pPr>
      <w:r>
        <w:rPr>
          <w:szCs w:val="21"/>
        </w:rPr>
        <w:t>本学科的研究生在校期间至少修满</w:t>
      </w:r>
      <w:r>
        <w:rPr>
          <w:rFonts w:hint="eastAsia"/>
          <w:szCs w:val="21"/>
        </w:rPr>
        <w:t>39</w:t>
      </w:r>
      <w:r>
        <w:rPr>
          <w:szCs w:val="21"/>
        </w:rPr>
        <w:t>学分，其中校学位必修课程不少于5学分，学院公共学位课</w:t>
      </w:r>
      <w:r>
        <w:rPr>
          <w:rFonts w:hint="eastAsia"/>
          <w:szCs w:val="21"/>
        </w:rPr>
        <w:t>4</w:t>
      </w:r>
      <w:r>
        <w:rPr>
          <w:szCs w:val="21"/>
        </w:rPr>
        <w:t>学分，专业基础课</w:t>
      </w:r>
      <w:r>
        <w:rPr>
          <w:rFonts w:hint="eastAsia"/>
          <w:szCs w:val="21"/>
        </w:rPr>
        <w:t>5</w:t>
      </w:r>
      <w:r>
        <w:rPr>
          <w:szCs w:val="21"/>
        </w:rPr>
        <w:t>学分，专业必修课3学分，临床实践</w:t>
      </w:r>
      <w:r>
        <w:rPr>
          <w:rFonts w:hint="eastAsia"/>
          <w:szCs w:val="21"/>
        </w:rPr>
        <w:t>18</w:t>
      </w:r>
      <w:r>
        <w:rPr>
          <w:szCs w:val="21"/>
        </w:rPr>
        <w:t>学分。</w:t>
      </w:r>
      <w:r>
        <w:rPr>
          <w:bCs/>
        </w:rPr>
        <w:t>另外要求必修环节</w:t>
      </w:r>
      <w:r>
        <w:rPr>
          <w:rFonts w:hint="eastAsia"/>
          <w:bCs/>
        </w:rPr>
        <w:t>4</w:t>
      </w:r>
      <w:r>
        <w:rPr>
          <w:bCs/>
        </w:rPr>
        <w:t>学分，</w:t>
      </w:r>
      <w:r>
        <w:rPr>
          <w:szCs w:val="21"/>
        </w:rPr>
        <w:t>其中学术活动1学分，中期考核3学分。</w:t>
      </w:r>
    </w:p>
    <w:p>
      <w:pPr>
        <w:spacing w:before="192" w:beforeLines="80" w:after="120" w:afterLines="50" w:line="286" w:lineRule="auto"/>
        <w:jc w:val="left"/>
        <w:rPr>
          <w:rFonts w:ascii="黑体" w:hAnsi="黑体" w:eastAsia="黑体"/>
          <w:sz w:val="24"/>
          <w:szCs w:val="24"/>
        </w:rPr>
      </w:pPr>
      <w:r>
        <w:rPr>
          <w:rFonts w:hint="eastAsia" w:ascii="黑体" w:hAnsi="黑体" w:eastAsia="黑体"/>
          <w:sz w:val="24"/>
          <w:szCs w:val="24"/>
        </w:rPr>
        <w:t>六、临床考核</w:t>
      </w:r>
    </w:p>
    <w:p>
      <w:pPr>
        <w:keepNext w:val="0"/>
        <w:keepLines w:val="0"/>
        <w:pageBreakBefore w:val="0"/>
        <w:kinsoku/>
        <w:wordWrap/>
        <w:overflowPunct/>
        <w:topLinePunct w:val="0"/>
        <w:autoSpaceDE/>
        <w:autoSpaceDN/>
        <w:bidi w:val="0"/>
        <w:adjustRightInd w:val="0"/>
        <w:spacing w:line="300" w:lineRule="auto"/>
        <w:ind w:firstLine="420" w:firstLineChars="200"/>
        <w:textAlignment w:val="auto"/>
        <w:rPr>
          <w:szCs w:val="21"/>
        </w:rPr>
      </w:pPr>
      <w:r>
        <w:rPr>
          <w:rFonts w:hint="eastAsia" w:hAnsi="宋体"/>
          <w:szCs w:val="21"/>
        </w:rPr>
        <w:t>1</w:t>
      </w:r>
      <w:r>
        <w:rPr>
          <w:bCs/>
          <w:szCs w:val="21"/>
        </w:rPr>
        <w:t>．</w:t>
      </w:r>
      <w:r>
        <w:rPr>
          <w:rFonts w:hAnsi="宋体"/>
          <w:szCs w:val="21"/>
        </w:rPr>
        <w:t>轮转考核：研究生应根据本专业培养方案的转科规定，完成其工作量和质量要求</w:t>
      </w:r>
      <w:r>
        <w:rPr>
          <w:rFonts w:hint="eastAsia" w:hAnsi="宋体"/>
          <w:szCs w:val="21"/>
        </w:rPr>
        <w:t>，</w:t>
      </w:r>
      <w:r>
        <w:rPr>
          <w:rFonts w:hAnsi="宋体"/>
          <w:szCs w:val="21"/>
        </w:rPr>
        <w:t>每轮</w:t>
      </w:r>
      <w:r>
        <w:rPr>
          <w:rFonts w:hint="eastAsia" w:hAnsi="宋体"/>
          <w:szCs w:val="21"/>
        </w:rPr>
        <w:t>转</w:t>
      </w:r>
      <w:r>
        <w:rPr>
          <w:rFonts w:hAnsi="宋体"/>
          <w:szCs w:val="21"/>
        </w:rPr>
        <w:t>完一个科室，出科时必须进行转科考核，考核不合格者应适当</w:t>
      </w:r>
      <w:r>
        <w:rPr>
          <w:rFonts w:hint="eastAsia" w:hAnsi="宋体"/>
          <w:szCs w:val="21"/>
        </w:rPr>
        <w:t>延</w:t>
      </w:r>
      <w:r>
        <w:rPr>
          <w:rFonts w:hAnsi="宋体"/>
          <w:szCs w:val="21"/>
        </w:rPr>
        <w:t>长转科时间，并进行补考。转科总平均成绩</w:t>
      </w:r>
      <w:r>
        <w:rPr>
          <w:szCs w:val="21"/>
        </w:rPr>
        <w:t>≥70</w:t>
      </w:r>
      <w:r>
        <w:rPr>
          <w:rFonts w:hAnsi="宋体"/>
          <w:szCs w:val="21"/>
        </w:rPr>
        <w:t>分为合格，转科成绩不合格者不能参加阶段考核。</w:t>
      </w:r>
    </w:p>
    <w:p>
      <w:pPr>
        <w:keepNext w:val="0"/>
        <w:keepLines w:val="0"/>
        <w:pageBreakBefore w:val="0"/>
        <w:kinsoku/>
        <w:wordWrap/>
        <w:overflowPunct/>
        <w:topLinePunct w:val="0"/>
        <w:autoSpaceDE/>
        <w:autoSpaceDN/>
        <w:bidi w:val="0"/>
        <w:adjustRightInd w:val="0"/>
        <w:spacing w:line="300" w:lineRule="auto"/>
        <w:ind w:firstLine="420" w:firstLineChars="200"/>
        <w:jc w:val="left"/>
        <w:textAlignment w:val="auto"/>
        <w:rPr>
          <w:snapToGrid w:val="0"/>
          <w:kern w:val="0"/>
          <w:szCs w:val="21"/>
          <w:lang w:val="zh-CN"/>
        </w:rPr>
      </w:pPr>
      <w:r>
        <w:rPr>
          <w:rFonts w:hint="eastAsia" w:hAnsi="宋体"/>
          <w:snapToGrid w:val="0"/>
          <w:kern w:val="0"/>
          <w:szCs w:val="21"/>
          <w:lang w:val="zh-CN"/>
        </w:rPr>
        <w:t>2</w:t>
      </w:r>
      <w:r>
        <w:rPr>
          <w:bCs/>
          <w:snapToGrid w:val="0"/>
          <w:kern w:val="0"/>
          <w:szCs w:val="21"/>
          <w:lang w:val="zh-CN"/>
        </w:rPr>
        <w:t>．</w:t>
      </w:r>
      <w:r>
        <w:rPr>
          <w:rFonts w:hAnsi="宋体"/>
          <w:snapToGrid w:val="0"/>
          <w:kern w:val="0"/>
          <w:szCs w:val="21"/>
          <w:lang w:val="zh-CN"/>
        </w:rPr>
        <w:t>阶段</w:t>
      </w:r>
      <w:r>
        <w:rPr>
          <w:rFonts w:hint="eastAsia" w:hAnsi="宋体"/>
          <w:snapToGrid w:val="0"/>
          <w:kern w:val="0"/>
          <w:szCs w:val="21"/>
          <w:lang w:val="zh-CN"/>
        </w:rPr>
        <w:t>（结业）</w:t>
      </w:r>
      <w:r>
        <w:rPr>
          <w:rFonts w:hAnsi="宋体"/>
          <w:snapToGrid w:val="0"/>
          <w:kern w:val="0"/>
          <w:szCs w:val="21"/>
          <w:lang w:val="zh-CN"/>
        </w:rPr>
        <w:t>考核：</w:t>
      </w:r>
      <w:r>
        <w:rPr>
          <w:rFonts w:hint="eastAsia" w:hAnsi="宋体"/>
          <w:snapToGrid w:val="0"/>
          <w:kern w:val="0"/>
          <w:szCs w:val="21"/>
          <w:lang w:val="zh-CN"/>
        </w:rPr>
        <w:t>口腔临床</w:t>
      </w:r>
      <w:r>
        <w:rPr>
          <w:rFonts w:hAnsi="宋体"/>
          <w:snapToGrid w:val="0"/>
          <w:kern w:val="0"/>
          <w:szCs w:val="21"/>
          <w:lang w:val="zh-CN"/>
        </w:rPr>
        <w:t>医学专业学位硕士研究生的毕业考核与阶段考核合二为一，考核内容包括：专业课、专业外语、临床能力考核，其中临床能力考核主要考核研究生是否具有规范的临床技能操作和独立处理本学科常见病的能力。考核方式：由学校按学科专业组成考核委员会进行考核，考核时间在研究生入学后第</w:t>
      </w:r>
      <w:r>
        <w:rPr>
          <w:rFonts w:hint="eastAsia" w:hAnsi="宋体"/>
          <w:snapToGrid w:val="0"/>
          <w:kern w:val="0"/>
          <w:szCs w:val="21"/>
          <w:lang w:val="zh-CN"/>
        </w:rPr>
        <w:t>三</w:t>
      </w:r>
      <w:r>
        <w:rPr>
          <w:rFonts w:hAnsi="宋体"/>
          <w:snapToGrid w:val="0"/>
          <w:kern w:val="0"/>
          <w:szCs w:val="21"/>
          <w:lang w:val="zh-CN"/>
        </w:rPr>
        <w:t>学年第一学期末（当年</w:t>
      </w:r>
      <w:r>
        <w:rPr>
          <w:snapToGrid w:val="0"/>
          <w:kern w:val="0"/>
          <w:szCs w:val="21"/>
          <w:lang w:val="zh-CN"/>
        </w:rPr>
        <w:t>12</w:t>
      </w:r>
      <w:r>
        <w:rPr>
          <w:rFonts w:hAnsi="宋体"/>
          <w:snapToGrid w:val="0"/>
          <w:kern w:val="0"/>
          <w:szCs w:val="21"/>
          <w:lang w:val="zh-CN"/>
        </w:rPr>
        <w:t>月）。</w:t>
      </w:r>
    </w:p>
    <w:p>
      <w:pPr>
        <w:keepNext w:val="0"/>
        <w:keepLines w:val="0"/>
        <w:pageBreakBefore w:val="0"/>
        <w:kinsoku/>
        <w:wordWrap/>
        <w:overflowPunct/>
        <w:topLinePunct w:val="0"/>
        <w:autoSpaceDE/>
        <w:autoSpaceDN/>
        <w:bidi w:val="0"/>
        <w:adjustRightInd w:val="0"/>
        <w:spacing w:line="300" w:lineRule="auto"/>
        <w:ind w:firstLine="420" w:firstLineChars="200"/>
        <w:jc w:val="left"/>
        <w:textAlignment w:val="auto"/>
        <w:rPr>
          <w:rFonts w:ascii="黑体" w:hAnsi="黑体" w:eastAsia="黑体"/>
          <w:sz w:val="24"/>
          <w:szCs w:val="24"/>
        </w:rPr>
      </w:pPr>
      <w:r>
        <w:rPr>
          <w:rFonts w:hint="eastAsia" w:hAnsi="宋体"/>
          <w:snapToGrid w:val="0"/>
          <w:kern w:val="0"/>
          <w:szCs w:val="21"/>
          <w:lang w:val="zh-CN"/>
        </w:rPr>
        <w:t>口腔临床</w:t>
      </w:r>
      <w:r>
        <w:rPr>
          <w:rFonts w:hAnsi="宋体"/>
          <w:snapToGrid w:val="0"/>
          <w:kern w:val="0"/>
          <w:szCs w:val="21"/>
          <w:lang w:val="zh-CN"/>
        </w:rPr>
        <w:t>医学研究生按照本专业培养方案的要求，完成轮转提交转科表，经审核成绩合格者可进行阶段</w:t>
      </w:r>
      <w:r>
        <w:rPr>
          <w:rFonts w:hint="eastAsia" w:hAnsi="宋体"/>
          <w:snapToGrid w:val="0"/>
          <w:kern w:val="0"/>
          <w:szCs w:val="21"/>
          <w:lang w:val="zh-CN"/>
        </w:rPr>
        <w:t>（结业</w:t>
      </w:r>
      <w:r>
        <w:rPr>
          <w:rFonts w:hAnsi="宋体"/>
          <w:snapToGrid w:val="0"/>
          <w:kern w:val="0"/>
          <w:szCs w:val="21"/>
          <w:lang w:val="zh-CN"/>
        </w:rPr>
        <w:t>）考核。具体考核办法见《西安交通大学临床医学专业学位研究生</w:t>
      </w:r>
      <w:r>
        <w:rPr>
          <w:rFonts w:hint="eastAsia" w:hAnsi="宋体"/>
          <w:snapToGrid w:val="0"/>
          <w:kern w:val="0"/>
          <w:szCs w:val="21"/>
          <w:lang w:val="zh-CN"/>
        </w:rPr>
        <w:t>（住院医师）</w:t>
      </w:r>
      <w:r>
        <w:rPr>
          <w:rFonts w:hAnsi="宋体"/>
          <w:snapToGrid w:val="0"/>
          <w:kern w:val="0"/>
          <w:szCs w:val="21"/>
          <w:lang w:val="zh-CN"/>
        </w:rPr>
        <w:t>临床能力考核及学位论文答辩暂行规定》。</w:t>
      </w:r>
    </w:p>
    <w:p>
      <w:pPr>
        <w:keepNext w:val="0"/>
        <w:keepLines w:val="0"/>
        <w:pageBreakBefore w:val="0"/>
        <w:tabs>
          <w:tab w:val="left" w:pos="2940"/>
        </w:tabs>
        <w:kinsoku/>
        <w:wordWrap/>
        <w:overflowPunct/>
        <w:topLinePunct w:val="0"/>
        <w:autoSpaceDE/>
        <w:autoSpaceDN/>
        <w:bidi w:val="0"/>
        <w:adjustRightInd w:val="0"/>
        <w:snapToGrid w:val="0"/>
        <w:spacing w:line="300" w:lineRule="auto"/>
        <w:textAlignment w:val="auto"/>
        <w:rPr>
          <w:rFonts w:hint="eastAsia"/>
          <w:b/>
          <w:bCs/>
          <w:szCs w:val="21"/>
        </w:rPr>
      </w:pPr>
      <w:r>
        <w:rPr>
          <w:rFonts w:hint="eastAsia"/>
          <w:b/>
          <w:bCs/>
          <w:szCs w:val="21"/>
        </w:rPr>
        <w:t>七、体育、美育、劳动教育</w:t>
      </w:r>
    </w:p>
    <w:p>
      <w:pPr>
        <w:pStyle w:val="11"/>
        <w:keepNext w:val="0"/>
        <w:keepLines w:val="0"/>
        <w:pageBreakBefore w:val="0"/>
        <w:kinsoku/>
        <w:wordWrap/>
        <w:overflowPunct/>
        <w:topLinePunct w:val="0"/>
        <w:autoSpaceDE/>
        <w:autoSpaceDN/>
        <w:bidi w:val="0"/>
        <w:spacing w:line="300" w:lineRule="auto"/>
        <w:textAlignment w:val="auto"/>
        <w:rPr>
          <w:rFonts w:hint="eastAsia"/>
          <w:sz w:val="21"/>
          <w:szCs w:val="21"/>
        </w:rPr>
      </w:pPr>
      <w:r>
        <w:rPr>
          <w:rFonts w:hint="eastAsia"/>
          <w:sz w:val="21"/>
          <w:szCs w:val="21"/>
        </w:rPr>
        <w:t>研究生依据当年的体育、美育、劳动教育研修指南，结合个人兴趣爱好和培养计划安排，制定个人体育、美育、劳动教育环节研修计划并开展研修，由体育、美育、劳动教育牵头单位对环节是否“通过”给予认定。</w:t>
      </w:r>
    </w:p>
    <w:p>
      <w:pPr>
        <w:keepNext w:val="0"/>
        <w:keepLines w:val="0"/>
        <w:pageBreakBefore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r>
        <w:rPr>
          <w:rFonts w:hint="eastAsia" w:ascii="黑体" w:hAnsi="黑体" w:eastAsia="黑体"/>
          <w:sz w:val="24"/>
          <w:szCs w:val="24"/>
        </w:rPr>
        <w:t>八、学位论文</w:t>
      </w:r>
    </w:p>
    <w:p>
      <w:pPr>
        <w:keepNext w:val="0"/>
        <w:keepLines w:val="0"/>
        <w:pageBreakBefore w:val="0"/>
        <w:kinsoku/>
        <w:wordWrap/>
        <w:overflowPunct/>
        <w:topLinePunct w:val="0"/>
        <w:autoSpaceDE/>
        <w:autoSpaceDN/>
        <w:bidi w:val="0"/>
        <w:spacing w:line="300" w:lineRule="auto"/>
        <w:ind w:firstLine="420" w:firstLineChars="200"/>
        <w:textAlignment w:val="auto"/>
        <w:rPr>
          <w:rFonts w:hAnsi="宋体"/>
          <w:szCs w:val="21"/>
        </w:rPr>
      </w:pPr>
      <w:r>
        <w:rPr>
          <w:rFonts w:hAnsi="宋体"/>
          <w:szCs w:val="21"/>
        </w:rPr>
        <w:t>申请硕士学位者在进行临床能力训练的同时，</w:t>
      </w:r>
      <w:r>
        <w:rPr>
          <w:rFonts w:hint="eastAsia" w:hAnsi="宋体"/>
          <w:szCs w:val="21"/>
        </w:rPr>
        <w:t>需完成</w:t>
      </w:r>
      <w:r>
        <w:rPr>
          <w:rFonts w:hAnsi="宋体"/>
          <w:szCs w:val="21"/>
        </w:rPr>
        <w:t>学位论文</w:t>
      </w:r>
      <w:r>
        <w:rPr>
          <w:rFonts w:hint="eastAsia" w:hAnsi="宋体"/>
          <w:szCs w:val="21"/>
        </w:rPr>
        <w:t>，研究生学位论文选题应当密切结合临床医学实践，体现运用相关学科的理论和方法分析解决医学实际问题的能力，论文</w:t>
      </w:r>
      <w:r>
        <w:rPr>
          <w:rFonts w:hAnsi="宋体"/>
          <w:szCs w:val="21"/>
        </w:rPr>
        <w:t>书写格式见《西安交通大学学位论文规范规定》。</w:t>
      </w:r>
    </w:p>
    <w:p>
      <w:pPr>
        <w:keepNext w:val="0"/>
        <w:keepLines w:val="0"/>
        <w:pageBreakBefore w:val="0"/>
        <w:kinsoku/>
        <w:wordWrap/>
        <w:overflowPunct/>
        <w:topLinePunct w:val="0"/>
        <w:autoSpaceDE/>
        <w:autoSpaceDN/>
        <w:bidi w:val="0"/>
        <w:spacing w:line="300" w:lineRule="auto"/>
        <w:ind w:firstLine="420" w:firstLineChars="200"/>
        <w:textAlignment w:val="auto"/>
        <w:rPr>
          <w:rFonts w:hAnsi="宋体"/>
          <w:szCs w:val="21"/>
        </w:rPr>
      </w:pPr>
      <w:r>
        <w:rPr>
          <w:rFonts w:hint="eastAsia" w:hAnsi="宋体"/>
          <w:szCs w:val="21"/>
        </w:rPr>
        <w:t>口腔临床</w:t>
      </w:r>
      <w:r>
        <w:rPr>
          <w:rFonts w:hAnsi="宋体"/>
          <w:szCs w:val="21"/>
        </w:rPr>
        <w:t>医学硕士专业学位论文要求：</w:t>
      </w:r>
    </w:p>
    <w:p>
      <w:pPr>
        <w:keepNext w:val="0"/>
        <w:keepLines w:val="0"/>
        <w:pageBreakBefore w:val="0"/>
        <w:kinsoku/>
        <w:wordWrap/>
        <w:overflowPunct/>
        <w:topLinePunct w:val="0"/>
        <w:autoSpaceDE/>
        <w:autoSpaceDN/>
        <w:bidi w:val="0"/>
        <w:spacing w:line="300" w:lineRule="auto"/>
        <w:ind w:firstLine="420" w:firstLineChars="200"/>
        <w:textAlignment w:val="auto"/>
        <w:rPr>
          <w:rFonts w:hAnsi="宋体"/>
          <w:szCs w:val="21"/>
        </w:rPr>
      </w:pPr>
      <w:r>
        <w:rPr>
          <w:rFonts w:hAnsi="宋体"/>
          <w:szCs w:val="21"/>
        </w:rPr>
        <w:t>1</w:t>
      </w:r>
      <w:r>
        <w:rPr>
          <w:rFonts w:hint="eastAsia"/>
          <w:bCs/>
          <w:szCs w:val="21"/>
        </w:rPr>
        <w:t>．</w:t>
      </w:r>
      <w:r>
        <w:rPr>
          <w:rFonts w:hAnsi="宋体"/>
          <w:szCs w:val="21"/>
        </w:rPr>
        <w:t>学位论文类型为病例分析报告（含文献综述）</w:t>
      </w:r>
      <w:r>
        <w:rPr>
          <w:rFonts w:hint="eastAsia" w:hAnsi="宋体"/>
          <w:szCs w:val="21"/>
        </w:rPr>
        <w:t>，或者是建立、改进某一诊疗方法、技术，以及针对某一社区卫生问题的研究论文等；</w:t>
      </w:r>
    </w:p>
    <w:p>
      <w:pPr>
        <w:keepNext w:val="0"/>
        <w:keepLines w:val="0"/>
        <w:pageBreakBefore w:val="0"/>
        <w:kinsoku/>
        <w:wordWrap/>
        <w:overflowPunct/>
        <w:topLinePunct w:val="0"/>
        <w:autoSpaceDE/>
        <w:autoSpaceDN/>
        <w:bidi w:val="0"/>
        <w:spacing w:line="300" w:lineRule="auto"/>
        <w:ind w:firstLine="420" w:firstLineChars="200"/>
        <w:textAlignment w:val="auto"/>
        <w:rPr>
          <w:rFonts w:hAnsi="宋体"/>
          <w:szCs w:val="21"/>
        </w:rPr>
      </w:pPr>
      <w:r>
        <w:rPr>
          <w:rFonts w:hAnsi="宋体"/>
          <w:szCs w:val="21"/>
        </w:rPr>
        <w:t>2</w:t>
      </w:r>
      <w:r>
        <w:rPr>
          <w:rFonts w:hint="eastAsia"/>
          <w:bCs/>
          <w:szCs w:val="21"/>
        </w:rPr>
        <w:t>．</w:t>
      </w:r>
      <w:r>
        <w:rPr>
          <w:rFonts w:hAnsi="宋体"/>
          <w:szCs w:val="21"/>
        </w:rPr>
        <w:t>学位论文应紧密结合临床实际，以总结临床实践经验为主；</w:t>
      </w:r>
    </w:p>
    <w:p>
      <w:pPr>
        <w:keepNext w:val="0"/>
        <w:keepLines w:val="0"/>
        <w:pageBreakBefore w:val="0"/>
        <w:kinsoku/>
        <w:wordWrap/>
        <w:overflowPunct/>
        <w:topLinePunct w:val="0"/>
        <w:autoSpaceDE/>
        <w:autoSpaceDN/>
        <w:bidi w:val="0"/>
        <w:spacing w:line="300" w:lineRule="auto"/>
        <w:ind w:firstLine="420" w:firstLineChars="200"/>
        <w:textAlignment w:val="auto"/>
        <w:rPr>
          <w:rFonts w:hAnsi="宋体"/>
          <w:szCs w:val="21"/>
        </w:rPr>
      </w:pPr>
      <w:r>
        <w:rPr>
          <w:szCs w:val="21"/>
        </w:rPr>
        <w:t>3</w:t>
      </w:r>
      <w:r>
        <w:rPr>
          <w:rFonts w:hint="eastAsia"/>
          <w:szCs w:val="21"/>
        </w:rPr>
        <w:t>．</w:t>
      </w:r>
      <w:r>
        <w:rPr>
          <w:rFonts w:hAnsi="宋体"/>
          <w:szCs w:val="21"/>
        </w:rPr>
        <w:t>学位论文应表明申请人已经掌握临床科学研究的基本方法。</w:t>
      </w:r>
    </w:p>
    <w:p>
      <w:pPr>
        <w:keepNext w:val="0"/>
        <w:keepLines w:val="0"/>
        <w:pageBreakBefore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r>
        <w:rPr>
          <w:rFonts w:hint="eastAsia" w:ascii="黑体" w:hAnsi="黑体" w:eastAsia="黑体"/>
          <w:sz w:val="24"/>
          <w:szCs w:val="24"/>
        </w:rPr>
        <w:t>九、</w:t>
      </w:r>
      <w:r>
        <w:rPr>
          <w:rFonts w:ascii="黑体" w:hAnsi="黑体" w:eastAsia="黑体"/>
          <w:sz w:val="24"/>
          <w:szCs w:val="24"/>
        </w:rPr>
        <w:t>学位</w:t>
      </w:r>
      <w:r>
        <w:rPr>
          <w:rFonts w:hint="eastAsia" w:ascii="黑体" w:hAnsi="黑体" w:eastAsia="黑体"/>
          <w:sz w:val="24"/>
          <w:szCs w:val="24"/>
        </w:rPr>
        <w:t>申请与授予工作</w:t>
      </w:r>
    </w:p>
    <w:p>
      <w:pPr>
        <w:keepNext w:val="0"/>
        <w:keepLines w:val="0"/>
        <w:pageBreakBefore w:val="0"/>
        <w:kinsoku/>
        <w:wordWrap/>
        <w:overflowPunct/>
        <w:topLinePunct w:val="0"/>
        <w:autoSpaceDE/>
        <w:autoSpaceDN/>
        <w:bidi w:val="0"/>
        <w:spacing w:line="300" w:lineRule="auto"/>
        <w:ind w:firstLine="420" w:firstLineChars="200"/>
        <w:textAlignment w:val="auto"/>
        <w:rPr>
          <w:rFonts w:eastAsia="黑体"/>
          <w:sz w:val="24"/>
          <w:szCs w:val="28"/>
        </w:rPr>
      </w:pPr>
      <w:r>
        <w:rPr>
          <w:rFonts w:hAnsi="宋体"/>
          <w:szCs w:val="21"/>
        </w:rPr>
        <w:t>1</w:t>
      </w:r>
      <w:r>
        <w:rPr>
          <w:rFonts w:hint="eastAsia"/>
          <w:bCs/>
          <w:szCs w:val="21"/>
        </w:rPr>
        <w:t>．</w:t>
      </w:r>
      <w:r>
        <w:rPr>
          <w:rFonts w:hAnsi="宋体"/>
          <w:szCs w:val="21"/>
        </w:rPr>
        <w:t>申请</w:t>
      </w:r>
      <w:r>
        <w:rPr>
          <w:rFonts w:hint="eastAsia" w:hAnsi="宋体"/>
          <w:szCs w:val="21"/>
        </w:rPr>
        <w:t>口腔临床</w:t>
      </w:r>
      <w:r>
        <w:rPr>
          <w:rFonts w:hAnsi="宋体"/>
          <w:szCs w:val="21"/>
        </w:rPr>
        <w:t>医学硕士专业学位应当符合以下条件</w:t>
      </w:r>
      <w:r>
        <w:rPr>
          <w:rFonts w:hint="eastAsia" w:hAnsi="宋体"/>
          <w:szCs w:val="21"/>
        </w:rPr>
        <w:t>：</w:t>
      </w:r>
    </w:p>
    <w:p>
      <w:pPr>
        <w:keepNext w:val="0"/>
        <w:keepLines w:val="0"/>
        <w:pageBreakBefore w:val="0"/>
        <w:kinsoku/>
        <w:wordWrap/>
        <w:overflowPunct/>
        <w:topLinePunct w:val="0"/>
        <w:autoSpaceDE/>
        <w:autoSpaceDN/>
        <w:bidi w:val="0"/>
        <w:snapToGrid w:val="0"/>
        <w:spacing w:line="300" w:lineRule="auto"/>
        <w:ind w:firstLine="420" w:firstLineChars="200"/>
        <w:textAlignment w:val="auto"/>
        <w:rPr>
          <w:rFonts w:ascii="宋体" w:hAnsi="宋体"/>
          <w:szCs w:val="21"/>
        </w:rPr>
      </w:pPr>
      <w:r>
        <w:rPr>
          <w:rFonts w:hint="eastAsia" w:hAnsi="宋体"/>
          <w:szCs w:val="21"/>
        </w:rPr>
        <w:t>（1）</w:t>
      </w:r>
      <w:r>
        <w:rPr>
          <w:rFonts w:ascii="宋体" w:hAnsi="宋体"/>
          <w:szCs w:val="21"/>
        </w:rPr>
        <w:t>完成学位授予单位培养方案所规定的各项要求；</w:t>
      </w:r>
    </w:p>
    <w:p>
      <w:pPr>
        <w:keepNext w:val="0"/>
        <w:keepLines w:val="0"/>
        <w:pageBreakBefore w:val="0"/>
        <w:kinsoku/>
        <w:wordWrap/>
        <w:overflowPunct/>
        <w:topLinePunct w:val="0"/>
        <w:autoSpaceDE/>
        <w:autoSpaceDN/>
        <w:bidi w:val="0"/>
        <w:snapToGrid w:val="0"/>
        <w:spacing w:line="300" w:lineRule="auto"/>
        <w:ind w:firstLine="420" w:firstLineChars="200"/>
        <w:textAlignment w:val="auto"/>
        <w:rPr>
          <w:rFonts w:ascii="宋体" w:hAnsi="宋体"/>
          <w:szCs w:val="21"/>
        </w:rPr>
      </w:pPr>
      <w:r>
        <w:rPr>
          <w:rFonts w:hint="eastAsia" w:hAnsi="宋体"/>
          <w:szCs w:val="21"/>
        </w:rPr>
        <w:t>（2）</w:t>
      </w:r>
      <w:r>
        <w:rPr>
          <w:rFonts w:ascii="宋体" w:hAnsi="宋体"/>
          <w:szCs w:val="21"/>
        </w:rPr>
        <w:t>取得《医师资格证书》；</w:t>
      </w:r>
    </w:p>
    <w:p>
      <w:pPr>
        <w:keepNext w:val="0"/>
        <w:keepLines w:val="0"/>
        <w:pageBreakBefore w:val="0"/>
        <w:kinsoku/>
        <w:wordWrap/>
        <w:overflowPunct/>
        <w:topLinePunct w:val="0"/>
        <w:autoSpaceDE/>
        <w:autoSpaceDN/>
        <w:bidi w:val="0"/>
        <w:snapToGrid w:val="0"/>
        <w:spacing w:line="300" w:lineRule="auto"/>
        <w:ind w:firstLine="420" w:firstLineChars="200"/>
        <w:textAlignment w:val="auto"/>
        <w:rPr>
          <w:rFonts w:ascii="宋体" w:hAnsi="宋体"/>
          <w:szCs w:val="21"/>
        </w:rPr>
      </w:pPr>
      <w:r>
        <w:rPr>
          <w:rFonts w:hint="eastAsia" w:hAnsi="宋体"/>
          <w:szCs w:val="21"/>
        </w:rPr>
        <w:t>（3）</w:t>
      </w:r>
      <w:r>
        <w:rPr>
          <w:rFonts w:ascii="宋体" w:hAnsi="宋体"/>
          <w:szCs w:val="21"/>
        </w:rPr>
        <w:t>完成住院医师规范化培训并取得《住院医师规范化培训合格证书》；</w:t>
      </w:r>
    </w:p>
    <w:p>
      <w:pPr>
        <w:keepNext w:val="0"/>
        <w:keepLines w:val="0"/>
        <w:pageBreakBefore w:val="0"/>
        <w:kinsoku/>
        <w:wordWrap/>
        <w:overflowPunct/>
        <w:topLinePunct w:val="0"/>
        <w:autoSpaceDE/>
        <w:autoSpaceDN/>
        <w:bidi w:val="0"/>
        <w:snapToGrid w:val="0"/>
        <w:spacing w:line="300" w:lineRule="auto"/>
        <w:ind w:firstLine="420" w:firstLineChars="200"/>
        <w:textAlignment w:val="auto"/>
        <w:rPr>
          <w:rFonts w:ascii="宋体" w:hAnsi="宋体"/>
          <w:szCs w:val="21"/>
        </w:rPr>
      </w:pPr>
      <w:r>
        <w:rPr>
          <w:rFonts w:hint="eastAsia" w:hAnsi="宋体"/>
          <w:szCs w:val="21"/>
        </w:rPr>
        <w:t>（4）</w:t>
      </w:r>
      <w:r>
        <w:rPr>
          <w:rFonts w:ascii="宋体" w:hAnsi="宋体"/>
          <w:szCs w:val="21"/>
        </w:rPr>
        <w:t>通过硕士学位论文答辩。</w:t>
      </w:r>
    </w:p>
    <w:p>
      <w:pPr>
        <w:keepNext w:val="0"/>
        <w:keepLines w:val="0"/>
        <w:pageBreakBefore w:val="0"/>
        <w:widowControl/>
        <w:kinsoku/>
        <w:wordWrap/>
        <w:overflowPunct/>
        <w:topLinePunct w:val="0"/>
        <w:autoSpaceDE/>
        <w:autoSpaceDN/>
        <w:bidi w:val="0"/>
        <w:adjustRightInd w:val="0"/>
        <w:snapToGrid w:val="0"/>
        <w:spacing w:line="300" w:lineRule="auto"/>
        <w:ind w:firstLine="420" w:firstLineChars="200"/>
        <w:textAlignment w:val="auto"/>
        <w:rPr>
          <w:rFonts w:hAnsi="宋体"/>
          <w:szCs w:val="21"/>
        </w:rPr>
      </w:pPr>
      <w:r>
        <w:rPr>
          <w:rFonts w:hAnsi="宋体"/>
          <w:szCs w:val="21"/>
        </w:rPr>
        <w:t>2</w:t>
      </w:r>
      <w:r>
        <w:rPr>
          <w:rFonts w:hint="eastAsia"/>
          <w:bCs/>
          <w:szCs w:val="21"/>
        </w:rPr>
        <w:t>．</w:t>
      </w:r>
      <w:r>
        <w:rPr>
          <w:rFonts w:hAnsi="宋体"/>
          <w:szCs w:val="21"/>
        </w:rPr>
        <w:t>研究生在</w:t>
      </w:r>
      <w:r>
        <w:rPr>
          <w:rFonts w:hint="eastAsia" w:hAnsi="宋体"/>
          <w:szCs w:val="21"/>
        </w:rPr>
        <w:t>完</w:t>
      </w:r>
      <w:r>
        <w:rPr>
          <w:rFonts w:hAnsi="宋体"/>
          <w:szCs w:val="21"/>
        </w:rPr>
        <w:t>成</w:t>
      </w:r>
      <w:r>
        <w:rPr>
          <w:rFonts w:hint="eastAsia" w:hAnsi="宋体"/>
          <w:szCs w:val="21"/>
        </w:rPr>
        <w:t>口腔临床</w:t>
      </w:r>
      <w:r>
        <w:rPr>
          <w:rFonts w:hAnsi="宋体"/>
          <w:szCs w:val="21"/>
        </w:rPr>
        <w:t>医学硕士专业学位的全部培养要求后，</w:t>
      </w:r>
      <w:r>
        <w:rPr>
          <w:rFonts w:hint="eastAsia" w:hAnsi="宋体"/>
          <w:szCs w:val="21"/>
        </w:rPr>
        <w:t>可</w:t>
      </w:r>
      <w:r>
        <w:rPr>
          <w:rFonts w:hAnsi="宋体"/>
          <w:szCs w:val="21"/>
        </w:rPr>
        <w:t>向所在学院研究生主管部门提出申请，填写《西安交通大学专业学位申请书》，经二级学科科主任或导师组负责人审核同意，报医学</w:t>
      </w:r>
      <w:r>
        <w:rPr>
          <w:rFonts w:hint="eastAsia" w:hAnsi="宋体"/>
          <w:szCs w:val="21"/>
        </w:rPr>
        <w:t>部</w:t>
      </w:r>
      <w:r>
        <w:rPr>
          <w:rFonts w:hAnsi="宋体"/>
          <w:szCs w:val="21"/>
        </w:rPr>
        <w:t>学位分会批准，可进行学位论文答辩。</w:t>
      </w:r>
    </w:p>
    <w:p>
      <w:pPr>
        <w:keepNext w:val="0"/>
        <w:keepLines w:val="0"/>
        <w:pageBreakBefore w:val="0"/>
        <w:kinsoku/>
        <w:wordWrap/>
        <w:overflowPunct/>
        <w:topLinePunct w:val="0"/>
        <w:autoSpaceDE/>
        <w:autoSpaceDN/>
        <w:bidi w:val="0"/>
        <w:spacing w:line="300" w:lineRule="auto"/>
        <w:ind w:firstLine="420" w:firstLineChars="200"/>
        <w:textAlignment w:val="auto"/>
        <w:rPr>
          <w:rFonts w:hAnsi="宋体"/>
          <w:szCs w:val="21"/>
        </w:rPr>
      </w:pPr>
      <w:r>
        <w:rPr>
          <w:szCs w:val="21"/>
        </w:rPr>
        <w:t>3</w:t>
      </w:r>
      <w:r>
        <w:rPr>
          <w:rFonts w:hint="eastAsia"/>
          <w:szCs w:val="21"/>
        </w:rPr>
        <w:t>．</w:t>
      </w:r>
      <w:r>
        <w:rPr>
          <w:rFonts w:hAnsi="宋体"/>
          <w:szCs w:val="21"/>
        </w:rPr>
        <w:t>研究生的硕士学位论文答辩由学校按学科专业组成答辩委员会（以下简称委员会），在每年</w:t>
      </w:r>
      <w:r>
        <w:rPr>
          <w:szCs w:val="21"/>
        </w:rPr>
        <w:t>4-5</w:t>
      </w:r>
      <w:r>
        <w:rPr>
          <w:rFonts w:hAnsi="宋体"/>
          <w:szCs w:val="21"/>
        </w:rPr>
        <w:t>月份组织进行学位论文答辩。学位论文答辩通过，委员会经无记名投票，全体委员三分之二以上同意，方可作出建议授予</w:t>
      </w:r>
      <w:r>
        <w:rPr>
          <w:rFonts w:hint="eastAsia" w:hAnsi="宋体"/>
          <w:szCs w:val="21"/>
        </w:rPr>
        <w:t>口腔临床</w:t>
      </w:r>
      <w:r>
        <w:rPr>
          <w:rFonts w:hAnsi="宋体"/>
          <w:szCs w:val="21"/>
        </w:rPr>
        <w:t>医学硕士专业学位的决议，并将决议提交</w:t>
      </w:r>
      <w:r>
        <w:rPr>
          <w:rFonts w:hint="eastAsia" w:hAnsi="宋体"/>
          <w:szCs w:val="21"/>
        </w:rPr>
        <w:t>医</w:t>
      </w:r>
      <w:r>
        <w:rPr>
          <w:rFonts w:hAnsi="宋体"/>
          <w:szCs w:val="21"/>
        </w:rPr>
        <w:t>学</w:t>
      </w:r>
      <w:r>
        <w:rPr>
          <w:rFonts w:hint="eastAsia" w:hAnsi="宋体"/>
          <w:szCs w:val="21"/>
        </w:rPr>
        <w:t>部</w:t>
      </w:r>
      <w:r>
        <w:rPr>
          <w:rFonts w:hAnsi="宋体"/>
          <w:szCs w:val="21"/>
        </w:rPr>
        <w:t>学位分会审核批准，报校学位评定委员会确认备案</w:t>
      </w:r>
      <w:r>
        <w:rPr>
          <w:rFonts w:hint="eastAsia" w:hAnsi="宋体"/>
          <w:szCs w:val="21"/>
        </w:rPr>
        <w:t>，</w:t>
      </w:r>
      <w:r>
        <w:rPr>
          <w:rFonts w:hAnsi="宋体"/>
          <w:szCs w:val="21"/>
        </w:rPr>
        <w:t>由学</w:t>
      </w:r>
      <w:r>
        <w:rPr>
          <w:rFonts w:hint="eastAsia" w:hAnsi="宋体"/>
          <w:szCs w:val="21"/>
        </w:rPr>
        <w:t>校</w:t>
      </w:r>
      <w:r>
        <w:rPr>
          <w:rFonts w:hAnsi="宋体"/>
          <w:szCs w:val="21"/>
        </w:rPr>
        <w:t>颁发硕士研究生学历证书和</w:t>
      </w:r>
      <w:r>
        <w:rPr>
          <w:rFonts w:hint="eastAsia" w:hAnsi="宋体"/>
          <w:szCs w:val="21"/>
        </w:rPr>
        <w:t>口腔</w:t>
      </w:r>
      <w:r>
        <w:rPr>
          <w:rFonts w:hAnsi="宋体"/>
          <w:szCs w:val="21"/>
        </w:rPr>
        <w:t>医学硕士学位证书。</w:t>
      </w:r>
    </w:p>
    <w:p>
      <w:pPr>
        <w:keepNext w:val="0"/>
        <w:keepLines w:val="0"/>
        <w:pageBreakBefore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r>
        <w:rPr>
          <w:rFonts w:hint="eastAsia" w:ascii="黑体" w:hAnsi="黑体" w:eastAsia="黑体"/>
          <w:sz w:val="24"/>
          <w:szCs w:val="24"/>
        </w:rPr>
        <w:t>十、</w:t>
      </w:r>
      <w:r>
        <w:rPr>
          <w:rFonts w:ascii="黑体" w:hAnsi="黑体" w:eastAsia="黑体"/>
          <w:sz w:val="24"/>
          <w:szCs w:val="24"/>
        </w:rPr>
        <w:t>分流机制</w:t>
      </w:r>
    </w:p>
    <w:p>
      <w:pPr>
        <w:keepNext w:val="0"/>
        <w:keepLines w:val="0"/>
        <w:pageBreakBefore w:val="0"/>
        <w:kinsoku/>
        <w:wordWrap/>
        <w:overflowPunct/>
        <w:topLinePunct w:val="0"/>
        <w:autoSpaceDE/>
        <w:autoSpaceDN/>
        <w:bidi w:val="0"/>
        <w:snapToGrid w:val="0"/>
        <w:spacing w:line="300" w:lineRule="auto"/>
        <w:ind w:firstLine="420" w:firstLineChars="200"/>
        <w:textAlignment w:val="auto"/>
        <w:rPr>
          <w:rFonts w:ascii="宋体" w:hAnsi="宋体"/>
          <w:szCs w:val="21"/>
        </w:rPr>
      </w:pPr>
      <w:r>
        <w:rPr>
          <w:rFonts w:ascii="宋体" w:hAnsi="宋体"/>
          <w:szCs w:val="21"/>
        </w:rPr>
        <w:t>学位授予单位应按照研究生学籍管理有关规定制订相关政策，对不适宜继续按照</w:t>
      </w:r>
      <w:r>
        <w:rPr>
          <w:rFonts w:hint="eastAsia" w:ascii="宋体" w:hAnsi="宋体"/>
          <w:szCs w:val="21"/>
        </w:rPr>
        <w:t>口腔</w:t>
      </w:r>
      <w:r>
        <w:rPr>
          <w:rFonts w:ascii="宋体" w:hAnsi="宋体"/>
          <w:szCs w:val="21"/>
        </w:rPr>
        <w:t>临床医学硕士专业学位培养的研究生进行合理分流。</w:t>
      </w:r>
    </w:p>
    <w:p>
      <w:pPr>
        <w:keepNext w:val="0"/>
        <w:keepLines w:val="0"/>
        <w:pageBreakBefore w:val="0"/>
        <w:kinsoku/>
        <w:wordWrap/>
        <w:overflowPunct/>
        <w:topLinePunct w:val="0"/>
        <w:autoSpaceDE/>
        <w:autoSpaceDN/>
        <w:bidi w:val="0"/>
        <w:snapToGrid w:val="0"/>
        <w:spacing w:line="300" w:lineRule="auto"/>
        <w:ind w:firstLine="420" w:firstLineChars="200"/>
        <w:textAlignment w:val="auto"/>
        <w:rPr>
          <w:szCs w:val="21"/>
        </w:rPr>
      </w:pPr>
      <w:r>
        <w:rPr>
          <w:rFonts w:hint="eastAsia"/>
          <w:szCs w:val="21"/>
        </w:rPr>
        <w:t>1</w:t>
      </w:r>
      <w:r>
        <w:rPr>
          <w:rFonts w:hint="eastAsia"/>
        </w:rPr>
        <w:t>．</w:t>
      </w:r>
      <w:r>
        <w:rPr>
          <w:rFonts w:hint="eastAsia"/>
          <w:szCs w:val="21"/>
        </w:rPr>
        <w:t>第二学年内未获得《医师资格证书》，根据学生意愿，可安排其转入学术学位研究生培养渠道，但应按照学术学位研究生的培养要求完成学位课程学习和论文答辩。</w:t>
      </w:r>
    </w:p>
    <w:p>
      <w:pPr>
        <w:keepNext w:val="0"/>
        <w:keepLines w:val="0"/>
        <w:pageBreakBefore w:val="0"/>
        <w:kinsoku/>
        <w:wordWrap/>
        <w:overflowPunct/>
        <w:topLinePunct w:val="0"/>
        <w:autoSpaceDE/>
        <w:autoSpaceDN/>
        <w:bidi w:val="0"/>
        <w:snapToGrid w:val="0"/>
        <w:spacing w:line="300" w:lineRule="auto"/>
        <w:ind w:firstLine="420" w:firstLineChars="200"/>
        <w:textAlignment w:val="auto"/>
        <w:rPr>
          <w:szCs w:val="21"/>
        </w:rPr>
      </w:pPr>
      <w:r>
        <w:rPr>
          <w:rFonts w:hint="eastAsia"/>
          <w:szCs w:val="21"/>
        </w:rPr>
        <w:t>2</w:t>
      </w:r>
      <w:r>
        <w:rPr>
          <w:rFonts w:hint="eastAsia"/>
        </w:rPr>
        <w:t>．</w:t>
      </w:r>
      <w:r>
        <w:rPr>
          <w:rFonts w:hint="eastAsia"/>
          <w:szCs w:val="21"/>
        </w:rPr>
        <w:t>在规定的学习年限内，未通过学位课程考核、住院医师规范化培训考核或学位论文答辩者，经学位授予单位批准，可适当延长学习年限。</w:t>
      </w:r>
    </w:p>
    <w:p>
      <w:pPr>
        <w:keepNext w:val="0"/>
        <w:keepLines w:val="0"/>
        <w:pageBreakBefore w:val="0"/>
        <w:kinsoku/>
        <w:wordWrap/>
        <w:overflowPunct/>
        <w:topLinePunct w:val="0"/>
        <w:autoSpaceDE/>
        <w:autoSpaceDN/>
        <w:bidi w:val="0"/>
        <w:snapToGrid w:val="0"/>
        <w:spacing w:line="300" w:lineRule="auto"/>
        <w:ind w:firstLine="420" w:firstLineChars="200"/>
        <w:textAlignment w:val="auto"/>
        <w:rPr>
          <w:szCs w:val="21"/>
        </w:rPr>
      </w:pPr>
      <w:r>
        <w:rPr>
          <w:rFonts w:hint="eastAsia"/>
          <w:szCs w:val="21"/>
        </w:rPr>
        <w:t>3</w:t>
      </w:r>
      <w:r>
        <w:rPr>
          <w:rFonts w:hint="eastAsia"/>
        </w:rPr>
        <w:t>．</w:t>
      </w:r>
      <w:r>
        <w:rPr>
          <w:rFonts w:hint="eastAsia"/>
          <w:szCs w:val="21"/>
        </w:rPr>
        <w:t>对在规定的学习年限内获得《医师资格证书》、完成学位课程考核，但未获得《住院医师规范化培训合格证书》者，可对其进行毕业考核和论文答辩，准予毕业。毕业后三年内取得《住院医师规范化培训合格证书》者，可回原学位授予单位申请硕士专业学位。</w:t>
      </w:r>
    </w:p>
    <w:p>
      <w:pPr>
        <w:keepNext/>
        <w:keepLines/>
        <w:spacing w:before="340" w:after="340" w:line="286" w:lineRule="auto"/>
        <w:jc w:val="center"/>
        <w:outlineLvl w:val="1"/>
        <w:rPr>
          <w:rFonts w:hAnsi="Arial" w:eastAsia="黑体"/>
          <w:b/>
          <w:bCs w:val="0"/>
          <w:sz w:val="28"/>
          <w:szCs w:val="28"/>
        </w:rPr>
      </w:pPr>
      <w:bookmarkStart w:id="583" w:name="_Toc110427523"/>
      <w:r>
        <w:rPr>
          <w:rFonts w:hAnsi="Arial" w:eastAsia="黑体"/>
          <w:b/>
          <w:bCs w:val="0"/>
          <w:sz w:val="28"/>
          <w:szCs w:val="28"/>
        </w:rPr>
        <w:t>（</w:t>
      </w:r>
      <w:r>
        <w:rPr>
          <w:rFonts w:hint="eastAsia" w:hAnsi="Arial" w:eastAsia="黑体"/>
          <w:b/>
          <w:bCs w:val="0"/>
          <w:sz w:val="28"/>
          <w:szCs w:val="28"/>
        </w:rPr>
        <w:t>八</w:t>
      </w:r>
      <w:r>
        <w:rPr>
          <w:rFonts w:hAnsi="Arial" w:eastAsia="黑体"/>
          <w:b/>
          <w:bCs w:val="0"/>
          <w:sz w:val="28"/>
          <w:szCs w:val="28"/>
        </w:rPr>
        <w:t>）</w:t>
      </w:r>
      <w:r>
        <w:rPr>
          <w:rFonts w:hint="eastAsia" w:hAnsi="Arial" w:eastAsia="黑体"/>
          <w:b/>
          <w:bCs w:val="0"/>
          <w:sz w:val="28"/>
          <w:szCs w:val="28"/>
        </w:rPr>
        <w:t>公共卫生硕士（1053）</w:t>
      </w:r>
      <w:r>
        <w:rPr>
          <w:rFonts w:hAnsi="Arial" w:eastAsia="黑体"/>
          <w:b/>
          <w:bCs w:val="0"/>
          <w:sz w:val="28"/>
          <w:szCs w:val="28"/>
        </w:rPr>
        <w:t>培养方案</w:t>
      </w:r>
      <w:bookmarkEnd w:id="583"/>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auto"/>
        <w:textAlignment w:val="auto"/>
        <w:rPr>
          <w:rFonts w:ascii="黑体" w:hAnsi="黑体" w:eastAsia="黑体"/>
          <w:sz w:val="24"/>
          <w:szCs w:val="24"/>
        </w:rPr>
      </w:pPr>
      <w:r>
        <w:rPr>
          <w:rFonts w:hint="eastAsia" w:ascii="黑体" w:hAnsi="黑体" w:eastAsia="黑体"/>
          <w:sz w:val="24"/>
          <w:szCs w:val="24"/>
        </w:rPr>
        <w:t>一、培养目标</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1</w:t>
      </w:r>
      <w:r>
        <w:rPr>
          <w:rFonts w:hint="eastAsia"/>
          <w:szCs w:val="21"/>
        </w:rPr>
        <w:t>．热爱祖国，遵纪守法，品德良好，有献身于科学的强烈事业心和创新精神，积极为祖国医学事业发展贡献自己的才智。</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2</w:t>
      </w:r>
      <w:r>
        <w:rPr>
          <w:rFonts w:hint="eastAsia"/>
          <w:szCs w:val="21"/>
        </w:rPr>
        <w:t>．掌握本学科的基础理论和系统的专业知识，具备较强的公共卫生实际问题的分析和解决能力及较好的沟通能力，能够独立从事公共卫生科学研究工作和公共卫生实践。</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3</w:t>
      </w:r>
      <w:r>
        <w:rPr>
          <w:rFonts w:hint="eastAsia"/>
          <w:szCs w:val="21"/>
        </w:rPr>
        <w:t>．能熟练掌握一门外语，阅读本专业的外文书刊等。</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auto"/>
        <w:textAlignment w:val="auto"/>
        <w:rPr>
          <w:rFonts w:ascii="黑体" w:hAnsi="黑体" w:eastAsia="黑体"/>
          <w:sz w:val="24"/>
          <w:szCs w:val="24"/>
        </w:rPr>
      </w:pPr>
      <w:r>
        <w:rPr>
          <w:rFonts w:hint="eastAsia" w:ascii="黑体" w:hAnsi="黑体" w:eastAsia="黑体"/>
          <w:sz w:val="24"/>
          <w:szCs w:val="24"/>
        </w:rPr>
        <w:t>二、专业方向</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1</w:t>
      </w:r>
      <w:r>
        <w:rPr>
          <w:rFonts w:hint="eastAsia"/>
          <w:szCs w:val="21"/>
        </w:rPr>
        <w:t>．流行病与卫生统计学；</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2</w:t>
      </w:r>
      <w:r>
        <w:rPr>
          <w:rFonts w:hint="eastAsia"/>
          <w:szCs w:val="21"/>
        </w:rPr>
        <w:t>．劳动卫生与环境卫生学；</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3</w:t>
      </w:r>
      <w:r>
        <w:rPr>
          <w:rFonts w:hint="eastAsia"/>
          <w:szCs w:val="21"/>
        </w:rPr>
        <w:t>．营养与食品卫生学；</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4</w:t>
      </w:r>
      <w:r>
        <w:rPr>
          <w:rFonts w:hint="eastAsia"/>
          <w:szCs w:val="21"/>
        </w:rPr>
        <w:t>．儿少卫生与妇幼保健学；</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5</w:t>
      </w:r>
      <w:r>
        <w:rPr>
          <w:rFonts w:hint="eastAsia"/>
          <w:szCs w:val="21"/>
        </w:rPr>
        <w:t>．卫生毒理学；</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rFonts w:hint="eastAsia"/>
          <w:szCs w:val="21"/>
        </w:rPr>
        <w:t>6．社会医学与卫生事业管理；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rFonts w:hint="eastAsia"/>
          <w:szCs w:val="21"/>
        </w:rPr>
        <w:t>7．卫生检验；</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rFonts w:hint="eastAsia"/>
          <w:szCs w:val="21"/>
        </w:rPr>
        <w:t>8．健康教育与健康促进。</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auto"/>
        <w:textAlignment w:val="auto"/>
        <w:rPr>
          <w:rFonts w:ascii="黑体" w:hAnsi="黑体" w:eastAsia="黑体"/>
          <w:sz w:val="24"/>
          <w:szCs w:val="24"/>
        </w:rPr>
      </w:pPr>
      <w:r>
        <w:rPr>
          <w:rFonts w:hint="eastAsia" w:ascii="黑体" w:hAnsi="黑体" w:eastAsia="黑体"/>
          <w:sz w:val="24"/>
          <w:szCs w:val="24"/>
        </w:rPr>
        <w:t>三、学习年限</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rFonts w:hint="eastAsia"/>
          <w:szCs w:val="21"/>
        </w:rPr>
        <w:t>本学科硕士研究生在校学习年限为</w:t>
      </w:r>
      <w:r>
        <w:rPr>
          <w:szCs w:val="21"/>
        </w:rPr>
        <w:t>3</w:t>
      </w:r>
      <w:r>
        <w:rPr>
          <w:rFonts w:hint="eastAsia"/>
          <w:szCs w:val="21"/>
        </w:rPr>
        <w:t>年。第一学年学习专业基础理论，掌握进行科研所必需的基本技能并尽可能写出文献综述。第二、三学年学习查阅文献、进行专业实践，与导师共同商定具体研究课题，进行科学研究，并形成论文。</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auto"/>
        <w:textAlignment w:val="auto"/>
        <w:rPr>
          <w:rFonts w:ascii="黑体" w:hAnsi="黑体" w:eastAsia="黑体"/>
          <w:sz w:val="24"/>
          <w:szCs w:val="24"/>
        </w:rPr>
      </w:pPr>
      <w:r>
        <w:rPr>
          <w:rFonts w:hint="eastAsia" w:ascii="黑体" w:hAnsi="黑体" w:eastAsia="黑体"/>
          <w:sz w:val="24"/>
          <w:szCs w:val="24"/>
        </w:rPr>
        <w:t>四、培养方式</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1</w:t>
      </w:r>
      <w:r>
        <w:rPr>
          <w:rFonts w:hint="eastAsia"/>
          <w:szCs w:val="21"/>
        </w:rPr>
        <w:t>．实行导师指导和课题组集体培养相结合的方式。</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2</w:t>
      </w:r>
      <w:r>
        <w:rPr>
          <w:rFonts w:hint="eastAsia"/>
          <w:szCs w:val="21"/>
        </w:rPr>
        <w:t>．课程学习可采用上课、自学、辅导、讨论等方式。</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3</w:t>
      </w:r>
      <w:r>
        <w:rPr>
          <w:rFonts w:hint="eastAsia"/>
          <w:szCs w:val="21"/>
        </w:rPr>
        <w:t>．</w:t>
      </w:r>
      <w:r>
        <w:rPr>
          <w:rFonts w:hint="eastAsia" w:ascii="宋体" w:hAnsi="宋体" w:cs="宋体"/>
          <w:szCs w:val="21"/>
        </w:rPr>
        <w:t>导师应根据本培养方案和因材施教的原则</w:t>
      </w:r>
      <w:r>
        <w:rPr>
          <w:rFonts w:hint="eastAsia"/>
          <w:szCs w:val="21"/>
        </w:rPr>
        <w:t>，于硕士生入学后</w:t>
      </w:r>
      <w:r>
        <w:rPr>
          <w:szCs w:val="21"/>
        </w:rPr>
        <w:t>2</w:t>
      </w:r>
      <w:r>
        <w:rPr>
          <w:rFonts w:hint="eastAsia"/>
          <w:szCs w:val="21"/>
        </w:rPr>
        <w:t>个月内，制定出具体的培养计划。</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4</w:t>
      </w:r>
      <w:r>
        <w:rPr>
          <w:rFonts w:hint="eastAsia"/>
          <w:szCs w:val="21"/>
        </w:rPr>
        <w:t>．开题应注重培养硕士生的创新能力及科研能力，在导师的指导下，通过查阅文献、调查研究后由本人确定。开题报告必须有详细记录，记录填写在《西安交通大学研究生开题报告》中。</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5</w:t>
      </w:r>
      <w:r>
        <w:rPr>
          <w:rFonts w:hint="eastAsia"/>
          <w:szCs w:val="21"/>
        </w:rPr>
        <w:t>．硕士生应参加校、院组织的研讨会或其它学术活动。根据科研工作的需要，可适当安排硕士生外出参加有关学术活动。</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6</w:t>
      </w:r>
      <w:r>
        <w:rPr>
          <w:rFonts w:hint="eastAsia"/>
          <w:szCs w:val="21"/>
        </w:rPr>
        <w:t>．硕士生应在第四学期结束前完成中期考核，考核不通过者，可以参加下学期的中期考核。</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contextualSpacing/>
        <w:textAlignment w:val="auto"/>
        <w:rPr>
          <w:bCs/>
          <w:szCs w:val="21"/>
        </w:rPr>
      </w:pPr>
      <w:r>
        <w:rPr>
          <w:rFonts w:hint="eastAsia"/>
          <w:kern w:val="0"/>
          <w:szCs w:val="21"/>
        </w:rPr>
        <w:t>7. 研究生的开题报告和中期报告中应包含实验安全风险评估的内容。</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auto"/>
        <w:textAlignment w:val="auto"/>
        <w:rPr>
          <w:rFonts w:ascii="黑体" w:hAnsi="黑体" w:eastAsia="黑体"/>
          <w:sz w:val="24"/>
          <w:szCs w:val="24"/>
        </w:rPr>
      </w:pPr>
      <w:r>
        <w:rPr>
          <w:rFonts w:hint="eastAsia" w:ascii="黑体" w:hAnsi="黑体" w:eastAsia="黑体"/>
          <w:sz w:val="24"/>
          <w:szCs w:val="24"/>
        </w:rPr>
        <w:t>五、课程学习</w:t>
      </w:r>
    </w:p>
    <w:p>
      <w:pPr>
        <w:keepNext w:val="0"/>
        <w:keepLines w:val="0"/>
        <w:pageBreakBefore w:val="0"/>
        <w:widowControl w:val="0"/>
        <w:kinsoku/>
        <w:wordWrap/>
        <w:overflowPunct/>
        <w:topLinePunct w:val="0"/>
        <w:autoSpaceDE/>
        <w:autoSpaceDN/>
        <w:bidi w:val="0"/>
        <w:adjustRightInd/>
        <w:snapToGrid/>
        <w:spacing w:after="120" w:afterLines="50" w:line="300" w:lineRule="auto"/>
        <w:ind w:firstLine="420" w:firstLineChars="200"/>
        <w:textAlignment w:val="auto"/>
        <w:rPr>
          <w:szCs w:val="21"/>
        </w:rPr>
      </w:pPr>
      <w:r>
        <w:rPr>
          <w:rFonts w:hint="eastAsia"/>
          <w:szCs w:val="21"/>
        </w:rPr>
        <w:t>硕士研究生的学习实行学分制。本学科的硕士研究生在校期间至少修满38学分，其中校学位必修课程不少于</w:t>
      </w:r>
      <w:r>
        <w:rPr>
          <w:szCs w:val="21"/>
        </w:rPr>
        <w:t>5</w:t>
      </w:r>
      <w:r>
        <w:rPr>
          <w:rFonts w:hint="eastAsia"/>
          <w:szCs w:val="21"/>
        </w:rPr>
        <w:t>学分，学院公共学位课8学分，专业基础课5学分，专业必修课2学分，专业选修课不少于6学分。</w:t>
      </w:r>
      <w:r>
        <w:rPr>
          <w:rFonts w:hint="eastAsia"/>
          <w:bCs/>
        </w:rPr>
        <w:t>另外要求必修环节12学分，</w:t>
      </w:r>
      <w:r>
        <w:rPr>
          <w:rFonts w:hint="eastAsia"/>
          <w:szCs w:val="21"/>
        </w:rPr>
        <w:t>其中学术活动</w:t>
      </w:r>
      <w:r>
        <w:rPr>
          <w:szCs w:val="21"/>
        </w:rPr>
        <w:t>1</w:t>
      </w:r>
      <w:r>
        <w:rPr>
          <w:rFonts w:hint="eastAsia"/>
          <w:szCs w:val="21"/>
        </w:rPr>
        <w:t>学分，专业实践</w:t>
      </w:r>
      <w:r>
        <w:rPr>
          <w:szCs w:val="21"/>
        </w:rPr>
        <w:t>8</w:t>
      </w:r>
      <w:r>
        <w:rPr>
          <w:rFonts w:hint="eastAsia"/>
          <w:szCs w:val="21"/>
        </w:rPr>
        <w:t>学分，中期考核</w:t>
      </w:r>
      <w:r>
        <w:rPr>
          <w:szCs w:val="21"/>
        </w:rPr>
        <w:t>3</w:t>
      </w:r>
      <w:r>
        <w:rPr>
          <w:rFonts w:hint="eastAsia"/>
          <w:szCs w:val="21"/>
        </w:rPr>
        <w:t>学分。</w:t>
      </w:r>
    </w:p>
    <w:tbl>
      <w:tblPr>
        <w:tblStyle w:val="37"/>
        <w:tblW w:w="8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236"/>
        <w:gridCol w:w="1182"/>
        <w:gridCol w:w="1341"/>
        <w:gridCol w:w="2307"/>
        <w:gridCol w:w="539"/>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szCs w:val="21"/>
              </w:rPr>
            </w:pPr>
            <w:r>
              <w:rPr>
                <w:rFonts w:hint="eastAsia"/>
                <w:b/>
                <w:szCs w:val="21"/>
              </w:rPr>
              <w:t>课程类型</w:t>
            </w: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szCs w:val="21"/>
              </w:rPr>
            </w:pPr>
            <w:r>
              <w:rPr>
                <w:rFonts w:hint="eastAsia"/>
                <w:b/>
                <w:szCs w:val="21"/>
              </w:rPr>
              <w:t>课程性质</w:t>
            </w: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szCs w:val="21"/>
              </w:rPr>
            </w:pPr>
            <w:r>
              <w:rPr>
                <w:rFonts w:hint="eastAsia"/>
                <w:b/>
                <w:szCs w:val="21"/>
              </w:rPr>
              <w:t>课程编号</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szCs w:val="21"/>
              </w:rPr>
            </w:pPr>
            <w:r>
              <w:rPr>
                <w:rFonts w:hint="eastAsia"/>
                <w:b/>
                <w:szCs w:val="21"/>
              </w:rPr>
              <w:t>统一编码</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szCs w:val="21"/>
              </w:rPr>
            </w:pPr>
            <w:r>
              <w:rPr>
                <w:rFonts w:hint="eastAsia"/>
                <w:b/>
                <w:szCs w:val="21"/>
              </w:rPr>
              <w:t>课程名称</w:t>
            </w:r>
          </w:p>
        </w:tc>
        <w:tc>
          <w:tcPr>
            <w:tcW w:w="5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szCs w:val="21"/>
              </w:rPr>
            </w:pPr>
            <w:r>
              <w:rPr>
                <w:rFonts w:hint="eastAsia"/>
                <w:b/>
                <w:szCs w:val="21"/>
              </w:rPr>
              <w:t>学分</w:t>
            </w: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szCs w:val="21"/>
              </w:rPr>
            </w:pPr>
            <w:r>
              <w:rPr>
                <w:rFonts w:hint="eastAsia"/>
                <w:b/>
                <w:szCs w:val="21"/>
              </w:rPr>
              <w:t>应修学分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学位课</w:t>
            </w:r>
          </w:p>
        </w:tc>
        <w:tc>
          <w:tcPr>
            <w:tcW w:w="123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校公共</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学位课</w:t>
            </w: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141003</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MLMD6003</w:t>
            </w:r>
            <w:r>
              <w:rPr>
                <w:rFonts w:hint="eastAsia" w:ascii="宋体" w:hAnsi="宋体"/>
                <w:szCs w:val="21"/>
              </w:rPr>
              <w:t>14</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szCs w:val="21"/>
              </w:rPr>
              <w:t>新时代中国特色社会主义理论与实践</w:t>
            </w:r>
          </w:p>
        </w:tc>
        <w:tc>
          <w:tcPr>
            <w:tcW w:w="5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szCs w:val="21"/>
              </w:rPr>
              <w:t>2</w:t>
            </w:r>
          </w:p>
        </w:tc>
        <w:tc>
          <w:tcPr>
            <w:tcW w:w="73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c>
          <w:tcPr>
            <w:tcW w:w="12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141005</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PHLS6001</w:t>
            </w:r>
            <w:r>
              <w:rPr>
                <w:rFonts w:hint="eastAsia" w:ascii="宋体" w:hAnsi="宋体"/>
                <w:szCs w:val="21"/>
              </w:rPr>
              <w:t>14</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szCs w:val="21"/>
              </w:rPr>
              <w:t>自然辩证法概论</w:t>
            </w:r>
          </w:p>
        </w:tc>
        <w:tc>
          <w:tcPr>
            <w:tcW w:w="5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szCs w:val="21"/>
              </w:rPr>
              <w:t>1</w:t>
            </w:r>
          </w:p>
        </w:tc>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c>
          <w:tcPr>
            <w:tcW w:w="12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c>
          <w:tcPr>
            <w:tcW w:w="118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121068</w:t>
            </w:r>
          </w:p>
        </w:tc>
        <w:tc>
          <w:tcPr>
            <w:tcW w:w="1341"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ascii="宋体" w:hAnsi="宋体"/>
                <w:szCs w:val="21"/>
              </w:rPr>
              <w:t>ENGL602212</w:t>
            </w:r>
          </w:p>
        </w:tc>
        <w:tc>
          <w:tcPr>
            <w:tcW w:w="2307" w:type="dxa"/>
          </w:tcPr>
          <w:p>
            <w:pPr>
              <w:keepNext w:val="0"/>
              <w:keepLines w:val="0"/>
              <w:pageBreakBefore w:val="0"/>
              <w:widowControl w:val="0"/>
              <w:kinsoku/>
              <w:wordWrap/>
              <w:overflowPunct/>
              <w:topLinePunct w:val="0"/>
              <w:autoSpaceDE/>
              <w:autoSpaceDN/>
              <w:bidi w:val="0"/>
              <w:adjustRightInd/>
              <w:snapToGrid/>
              <w:spacing w:line="240" w:lineRule="auto"/>
              <w:textAlignment w:val="auto"/>
              <w:rPr>
                <w:szCs w:val="21"/>
                <w:lang w:val="zh-CN"/>
              </w:rPr>
            </w:pPr>
            <w:r>
              <w:rPr>
                <w:rFonts w:hint="eastAsia" w:ascii="Calibri" w:hAnsi="Calibri"/>
              </w:rPr>
              <w:t>医学英语</w:t>
            </w:r>
          </w:p>
        </w:tc>
        <w:tc>
          <w:tcPr>
            <w:tcW w:w="5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szCs w:val="21"/>
              </w:rPr>
              <w:t>2</w:t>
            </w:r>
          </w:p>
        </w:tc>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c>
          <w:tcPr>
            <w:tcW w:w="123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院公共</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学位课</w:t>
            </w: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152194</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ascii="宋体" w:hAnsi="宋体"/>
                <w:szCs w:val="21"/>
              </w:rPr>
              <w:t>PUBH612015</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szCs w:val="21"/>
              </w:rPr>
              <w:t>卫生统计学</w:t>
            </w:r>
          </w:p>
        </w:tc>
        <w:tc>
          <w:tcPr>
            <w:tcW w:w="5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3</w:t>
            </w:r>
          </w:p>
        </w:tc>
        <w:tc>
          <w:tcPr>
            <w:tcW w:w="73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c>
          <w:tcPr>
            <w:tcW w:w="12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152191</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ascii="宋体" w:hAnsi="宋体"/>
                <w:szCs w:val="21"/>
              </w:rPr>
              <w:t>PUBH611915</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szCs w:val="21"/>
              </w:rPr>
              <w:t>现代流行病学</w:t>
            </w:r>
          </w:p>
        </w:tc>
        <w:tc>
          <w:tcPr>
            <w:tcW w:w="5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3</w:t>
            </w:r>
          </w:p>
        </w:tc>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c>
          <w:tcPr>
            <w:tcW w:w="12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152075</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BASM6117</w:t>
            </w:r>
            <w:r>
              <w:rPr>
                <w:rFonts w:hint="eastAsia" w:ascii="宋体" w:hAnsi="宋体"/>
                <w:szCs w:val="21"/>
              </w:rPr>
              <w:t>15</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szCs w:val="21"/>
              </w:rPr>
              <w:t>医学科学研究导论</w:t>
            </w:r>
          </w:p>
        </w:tc>
        <w:tc>
          <w:tcPr>
            <w:tcW w:w="5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szCs w:val="21"/>
              </w:rPr>
              <w:t>2</w:t>
            </w:r>
          </w:p>
        </w:tc>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c>
          <w:tcPr>
            <w:tcW w:w="123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专业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基础课</w:t>
            </w: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152120</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BASM6120</w:t>
            </w:r>
            <w:r>
              <w:rPr>
                <w:rFonts w:hint="eastAsia" w:ascii="宋体" w:hAnsi="宋体"/>
                <w:szCs w:val="21"/>
              </w:rPr>
              <w:t>15</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szCs w:val="21"/>
              </w:rPr>
              <w:t>医用生物信息基础</w:t>
            </w:r>
          </w:p>
        </w:tc>
        <w:tc>
          <w:tcPr>
            <w:tcW w:w="5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szCs w:val="21"/>
              </w:rPr>
              <w:t>1</w:t>
            </w:r>
          </w:p>
        </w:tc>
        <w:tc>
          <w:tcPr>
            <w:tcW w:w="73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c>
          <w:tcPr>
            <w:tcW w:w="12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152049</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PUBH6106</w:t>
            </w:r>
            <w:r>
              <w:rPr>
                <w:rFonts w:hint="eastAsia" w:ascii="宋体" w:hAnsi="宋体"/>
                <w:szCs w:val="21"/>
              </w:rPr>
              <w:t>15</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szCs w:val="21"/>
              </w:rPr>
              <w:t>数据管理与分析</w:t>
            </w:r>
          </w:p>
        </w:tc>
        <w:tc>
          <w:tcPr>
            <w:tcW w:w="5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szCs w:val="21"/>
              </w:rPr>
              <w:t>2</w:t>
            </w:r>
          </w:p>
        </w:tc>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c>
          <w:tcPr>
            <w:tcW w:w="12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152195</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ascii="宋体" w:hAnsi="宋体"/>
                <w:szCs w:val="21"/>
              </w:rPr>
              <w:t>PUBH612215</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szCs w:val="21"/>
              </w:rPr>
              <w:t>公共卫生学研究理论与方法</w:t>
            </w:r>
          </w:p>
        </w:tc>
        <w:tc>
          <w:tcPr>
            <w:tcW w:w="5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2</w:t>
            </w:r>
          </w:p>
        </w:tc>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c>
          <w:tcPr>
            <w:tcW w:w="123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专业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必修课</w:t>
            </w: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152096</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PUBH7104</w:t>
            </w:r>
            <w:r>
              <w:rPr>
                <w:rFonts w:hint="eastAsia" w:ascii="宋体" w:hAnsi="宋体"/>
                <w:szCs w:val="21"/>
              </w:rPr>
              <w:t>15</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szCs w:val="21"/>
              </w:rPr>
              <w:t>流行病与卫生统计学（</w:t>
            </w:r>
            <w:r>
              <w:rPr>
                <w:szCs w:val="21"/>
              </w:rPr>
              <w:t>2</w:t>
            </w:r>
            <w:r>
              <w:rPr>
                <w:rFonts w:hint="eastAsia"/>
                <w:szCs w:val="21"/>
              </w:rPr>
              <w:t>）</w:t>
            </w:r>
          </w:p>
        </w:tc>
        <w:tc>
          <w:tcPr>
            <w:tcW w:w="5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szCs w:val="21"/>
              </w:rPr>
              <w:t>2</w:t>
            </w:r>
          </w:p>
        </w:tc>
        <w:tc>
          <w:tcPr>
            <w:tcW w:w="73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根据学生的专业选修</w:t>
            </w:r>
            <w:r>
              <w:rPr>
                <w:szCs w:val="21"/>
              </w:rPr>
              <w:t>2</w:t>
            </w:r>
            <w:r>
              <w:rPr>
                <w:rFonts w:hint="eastAsia"/>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c>
          <w:tcPr>
            <w:tcW w:w="12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152095</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PUBH7103</w:t>
            </w:r>
            <w:r>
              <w:rPr>
                <w:rFonts w:hint="eastAsia" w:ascii="宋体" w:hAnsi="宋体"/>
                <w:szCs w:val="21"/>
              </w:rPr>
              <w:t>15</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szCs w:val="21"/>
              </w:rPr>
              <w:t>劳动卫生与环境卫生学（</w:t>
            </w:r>
            <w:r>
              <w:rPr>
                <w:szCs w:val="21"/>
              </w:rPr>
              <w:t>2</w:t>
            </w:r>
            <w:r>
              <w:rPr>
                <w:rFonts w:hint="eastAsia"/>
                <w:szCs w:val="21"/>
              </w:rPr>
              <w:t>）</w:t>
            </w:r>
          </w:p>
        </w:tc>
        <w:tc>
          <w:tcPr>
            <w:tcW w:w="5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szCs w:val="21"/>
              </w:rPr>
              <w:t>2</w:t>
            </w:r>
          </w:p>
        </w:tc>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c>
          <w:tcPr>
            <w:tcW w:w="12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152093</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PUBH7101</w:t>
            </w:r>
            <w:r>
              <w:rPr>
                <w:rFonts w:hint="eastAsia" w:ascii="宋体" w:hAnsi="宋体"/>
                <w:szCs w:val="21"/>
              </w:rPr>
              <w:t>15</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szCs w:val="21"/>
              </w:rPr>
              <w:t>营养与食品卫生学（</w:t>
            </w:r>
            <w:r>
              <w:rPr>
                <w:szCs w:val="21"/>
              </w:rPr>
              <w:t>2</w:t>
            </w:r>
            <w:r>
              <w:rPr>
                <w:rFonts w:hint="eastAsia"/>
                <w:szCs w:val="21"/>
              </w:rPr>
              <w:t>）</w:t>
            </w:r>
          </w:p>
        </w:tc>
        <w:tc>
          <w:tcPr>
            <w:tcW w:w="5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szCs w:val="21"/>
              </w:rPr>
              <w:t>2</w:t>
            </w:r>
          </w:p>
        </w:tc>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c>
          <w:tcPr>
            <w:tcW w:w="12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152094</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PUBH7102</w:t>
            </w:r>
            <w:r>
              <w:rPr>
                <w:rFonts w:hint="eastAsia" w:ascii="宋体" w:hAnsi="宋体"/>
                <w:szCs w:val="21"/>
              </w:rPr>
              <w:t>15</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szCs w:val="21"/>
              </w:rPr>
              <w:t>儿少卫生与妇幼保健学（</w:t>
            </w:r>
            <w:r>
              <w:rPr>
                <w:szCs w:val="21"/>
              </w:rPr>
              <w:t>2</w:t>
            </w:r>
            <w:r>
              <w:rPr>
                <w:rFonts w:hint="eastAsia"/>
                <w:szCs w:val="21"/>
              </w:rPr>
              <w:t>）</w:t>
            </w:r>
          </w:p>
        </w:tc>
        <w:tc>
          <w:tcPr>
            <w:tcW w:w="5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szCs w:val="21"/>
              </w:rPr>
              <w:t>2</w:t>
            </w:r>
          </w:p>
        </w:tc>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c>
          <w:tcPr>
            <w:tcW w:w="12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152132</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PUBH7105</w:t>
            </w:r>
            <w:r>
              <w:rPr>
                <w:rFonts w:hint="eastAsia" w:ascii="宋体" w:hAnsi="宋体"/>
                <w:szCs w:val="21"/>
              </w:rPr>
              <w:t>15</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szCs w:val="21"/>
              </w:rPr>
              <w:t>卫生毒理学（</w:t>
            </w:r>
            <w:r>
              <w:rPr>
                <w:szCs w:val="21"/>
              </w:rPr>
              <w:t>2</w:t>
            </w:r>
            <w:r>
              <w:rPr>
                <w:rFonts w:hint="eastAsia"/>
                <w:szCs w:val="21"/>
              </w:rPr>
              <w:t>）</w:t>
            </w:r>
          </w:p>
        </w:tc>
        <w:tc>
          <w:tcPr>
            <w:tcW w:w="5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szCs w:val="21"/>
              </w:rPr>
              <w:t>2</w:t>
            </w:r>
          </w:p>
        </w:tc>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选修课</w:t>
            </w:r>
          </w:p>
        </w:tc>
        <w:tc>
          <w:tcPr>
            <w:tcW w:w="123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专业选修课</w:t>
            </w: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szCs w:val="21"/>
              </w:rPr>
              <w:t>研究生课程目录上选修</w:t>
            </w:r>
          </w:p>
        </w:tc>
        <w:tc>
          <w:tcPr>
            <w:tcW w:w="5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szCs w:val="21"/>
              </w:rPr>
              <w:t>≥</w:t>
            </w:r>
            <w:r>
              <w:rPr>
                <w:rFonts w:hint="eastAsia"/>
                <w:szCs w:val="21"/>
              </w:rPr>
              <w:t>6</w:t>
            </w:r>
          </w:p>
        </w:tc>
        <w:tc>
          <w:tcPr>
            <w:tcW w:w="7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szCs w:val="21"/>
              </w:rPr>
              <w:t>≥</w:t>
            </w: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必修环节</w:t>
            </w:r>
          </w:p>
        </w:tc>
        <w:tc>
          <w:tcPr>
            <w:tcW w:w="123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w:t>
            </w: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ascii="宋体" w:hAnsi="宋体"/>
                <w:szCs w:val="21"/>
              </w:rPr>
              <w:t>001997</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BXHJ6003</w:t>
            </w:r>
            <w:r>
              <w:rPr>
                <w:rFonts w:hint="eastAsia" w:ascii="宋体" w:hAnsi="宋体"/>
                <w:szCs w:val="21"/>
              </w:rPr>
              <w:t>99</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szCs w:val="21"/>
              </w:rPr>
              <w:t>学术活动（讲座）硕</w:t>
            </w:r>
          </w:p>
        </w:tc>
        <w:tc>
          <w:tcPr>
            <w:tcW w:w="5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szCs w:val="21"/>
              </w:rPr>
              <w:t>1</w:t>
            </w:r>
          </w:p>
        </w:tc>
        <w:tc>
          <w:tcPr>
            <w:tcW w:w="73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c>
          <w:tcPr>
            <w:tcW w:w="12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001983</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BXHJ6009</w:t>
            </w:r>
            <w:r>
              <w:rPr>
                <w:rFonts w:hint="eastAsia" w:ascii="宋体" w:hAnsi="宋体"/>
                <w:szCs w:val="21"/>
              </w:rPr>
              <w:t>99</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szCs w:val="21"/>
              </w:rPr>
              <w:t>专业实践</w:t>
            </w:r>
          </w:p>
        </w:tc>
        <w:tc>
          <w:tcPr>
            <w:tcW w:w="5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szCs w:val="21"/>
              </w:rPr>
              <w:t>8</w:t>
            </w:r>
          </w:p>
        </w:tc>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c>
          <w:tcPr>
            <w:tcW w:w="12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szCs w:val="21"/>
              </w:rPr>
              <w:t>001981</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Cs w:val="21"/>
              </w:rPr>
            </w:pPr>
            <w:r>
              <w:rPr>
                <w:rFonts w:ascii="宋体" w:hAnsi="宋体"/>
                <w:szCs w:val="21"/>
              </w:rPr>
              <w:t>BXHJ6007</w:t>
            </w:r>
            <w:r>
              <w:rPr>
                <w:rFonts w:hint="eastAsia" w:ascii="宋体" w:hAnsi="宋体"/>
                <w:szCs w:val="21"/>
              </w:rPr>
              <w:t>99</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szCs w:val="21"/>
              </w:rPr>
            </w:pPr>
            <w:r>
              <w:rPr>
                <w:rFonts w:hint="eastAsia"/>
                <w:szCs w:val="21"/>
              </w:rPr>
              <w:t>中期考核（硕）</w:t>
            </w:r>
          </w:p>
        </w:tc>
        <w:tc>
          <w:tcPr>
            <w:tcW w:w="5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szCs w:val="21"/>
              </w:rPr>
              <w:t>3</w:t>
            </w:r>
          </w:p>
        </w:tc>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c>
          <w:tcPr>
            <w:tcW w:w="12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c>
          <w:tcPr>
            <w:tcW w:w="118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szCs w:val="21"/>
              </w:rPr>
            </w:pPr>
            <w:r>
              <w:rPr>
                <w:rFonts w:hint="eastAsia" w:ascii="宋体" w:hAnsi="宋体"/>
                <w:szCs w:val="21"/>
              </w:rPr>
              <w:t>001954</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szCs w:val="21"/>
              </w:rPr>
            </w:pPr>
            <w:r>
              <w:rPr>
                <w:rFonts w:hint="eastAsia" w:ascii="宋体" w:hAnsi="宋体"/>
                <w:szCs w:val="21"/>
              </w:rPr>
              <w:t>B</w:t>
            </w:r>
            <w:r>
              <w:rPr>
                <w:rFonts w:ascii="宋体" w:hAnsi="宋体"/>
                <w:szCs w:val="21"/>
              </w:rPr>
              <w:t>XHJ602499</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Cs w:val="21"/>
              </w:rPr>
            </w:pPr>
            <w:r>
              <w:rPr>
                <w:rFonts w:hint="eastAsia"/>
                <w:kern w:val="0"/>
                <w:szCs w:val="21"/>
              </w:rPr>
              <w:t>劳动教育</w:t>
            </w:r>
          </w:p>
        </w:tc>
        <w:tc>
          <w:tcPr>
            <w:tcW w:w="5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r>
              <w:rPr>
                <w:rFonts w:hint="eastAsia"/>
                <w:kern w:val="0"/>
                <w:szCs w:val="21"/>
              </w:rPr>
              <w:t>0</w:t>
            </w:r>
          </w:p>
        </w:tc>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c>
          <w:tcPr>
            <w:tcW w:w="12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c>
          <w:tcPr>
            <w:tcW w:w="118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Cs w:val="21"/>
              </w:rPr>
            </w:pPr>
            <w:r>
              <w:rPr>
                <w:rFonts w:hint="eastAsia" w:ascii="宋体" w:hAnsi="宋体"/>
                <w:szCs w:val="21"/>
              </w:rPr>
              <w:t>001955</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Cs w:val="21"/>
              </w:rPr>
            </w:pPr>
            <w:r>
              <w:rPr>
                <w:rFonts w:hint="eastAsia" w:ascii="宋体" w:hAnsi="宋体"/>
                <w:szCs w:val="21"/>
              </w:rPr>
              <w:t>B</w:t>
            </w:r>
            <w:r>
              <w:rPr>
                <w:rFonts w:ascii="宋体" w:hAnsi="宋体"/>
                <w:szCs w:val="21"/>
              </w:rPr>
              <w:t>XHJ602399</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kern w:val="0"/>
                <w:szCs w:val="21"/>
              </w:rPr>
            </w:pPr>
            <w:r>
              <w:rPr>
                <w:rFonts w:hint="eastAsia"/>
                <w:kern w:val="0"/>
                <w:szCs w:val="21"/>
              </w:rPr>
              <w:t>美育</w:t>
            </w:r>
          </w:p>
        </w:tc>
        <w:tc>
          <w:tcPr>
            <w:tcW w:w="5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kern w:val="0"/>
                <w:szCs w:val="21"/>
              </w:rPr>
            </w:pPr>
            <w:r>
              <w:rPr>
                <w:rFonts w:hint="eastAsia"/>
                <w:kern w:val="0"/>
                <w:szCs w:val="21"/>
              </w:rPr>
              <w:t>0</w:t>
            </w:r>
          </w:p>
        </w:tc>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c>
          <w:tcPr>
            <w:tcW w:w="123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c>
          <w:tcPr>
            <w:tcW w:w="118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Cs w:val="21"/>
              </w:rPr>
            </w:pPr>
            <w:r>
              <w:rPr>
                <w:rFonts w:hint="eastAsia" w:ascii="宋体" w:hAnsi="宋体"/>
                <w:szCs w:val="21"/>
              </w:rPr>
              <w:t>001956</w:t>
            </w:r>
          </w:p>
        </w:tc>
        <w:tc>
          <w:tcPr>
            <w:tcW w:w="134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Cs w:val="21"/>
              </w:rPr>
            </w:pPr>
            <w:r>
              <w:rPr>
                <w:rFonts w:hint="eastAsia" w:ascii="宋体" w:hAnsi="宋体"/>
                <w:szCs w:val="21"/>
              </w:rPr>
              <w:t>B</w:t>
            </w:r>
            <w:r>
              <w:rPr>
                <w:rFonts w:ascii="宋体" w:hAnsi="宋体"/>
                <w:szCs w:val="21"/>
              </w:rPr>
              <w:t>XHJ602299</w:t>
            </w:r>
          </w:p>
        </w:tc>
        <w:tc>
          <w:tcPr>
            <w:tcW w:w="2307"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kern w:val="0"/>
                <w:szCs w:val="21"/>
              </w:rPr>
            </w:pPr>
            <w:r>
              <w:rPr>
                <w:rFonts w:hint="eastAsia"/>
                <w:kern w:val="0"/>
                <w:szCs w:val="21"/>
              </w:rPr>
              <w:t>体育</w:t>
            </w:r>
          </w:p>
        </w:tc>
        <w:tc>
          <w:tcPr>
            <w:tcW w:w="5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kern w:val="0"/>
                <w:szCs w:val="21"/>
              </w:rPr>
            </w:pPr>
            <w:r>
              <w:rPr>
                <w:rFonts w:hint="eastAsia"/>
                <w:kern w:val="0"/>
                <w:szCs w:val="21"/>
              </w:rPr>
              <w:t>0</w:t>
            </w:r>
          </w:p>
        </w:tc>
        <w:tc>
          <w:tcPr>
            <w:tcW w:w="73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Cs w:val="21"/>
              </w:rPr>
            </w:pPr>
          </w:p>
        </w:tc>
      </w:tr>
    </w:tbl>
    <w:p>
      <w:pPr>
        <w:keepNext w:val="0"/>
        <w:keepLines w:val="0"/>
        <w:pageBreakBefore w:val="0"/>
        <w:widowControl w:val="0"/>
        <w:kinsoku/>
        <w:wordWrap/>
        <w:overflowPunct/>
        <w:topLinePunct w:val="0"/>
        <w:autoSpaceDE/>
        <w:autoSpaceDN/>
        <w:bidi w:val="0"/>
        <w:spacing w:before="192" w:beforeLines="80" w:after="120" w:afterLines="50" w:line="300" w:lineRule="auto"/>
        <w:textAlignment w:val="auto"/>
        <w:rPr>
          <w:rFonts w:eastAsia="黑体"/>
          <w:bCs/>
          <w:sz w:val="24"/>
        </w:rPr>
      </w:pPr>
      <w:r>
        <w:rPr>
          <w:rFonts w:hint="eastAsia" w:eastAsia="黑体"/>
          <w:bCs/>
          <w:sz w:val="24"/>
        </w:rPr>
        <w:t>六、专业实践</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hint="eastAsia" w:ascii="宋体" w:hAnsi="宋体"/>
        </w:rPr>
      </w:pPr>
      <w:r>
        <w:rPr>
          <w:rFonts w:hint="eastAsia" w:ascii="宋体" w:hAnsi="宋体"/>
        </w:rPr>
        <w:t>专业实践是公共卫生硕士培养的重要教学环节。研究生在学期间，在导师指导下，在公共卫生相关领域的政府部门或公共组织（如各级疾病预防控制中心等）进行公共卫生专业实践，包括</w:t>
      </w:r>
      <w:r>
        <w:rPr>
          <w:rFonts w:hint="eastAsia" w:ascii="宋体" w:hAnsi="宋体"/>
          <w:szCs w:val="21"/>
        </w:rPr>
        <w:t>疾病预防与控制、卫生监测与检验、健康教育与促进、或卫生政策与管理等</w:t>
      </w:r>
      <w:r>
        <w:rPr>
          <w:rFonts w:hint="eastAsia" w:ascii="宋体" w:hAnsi="宋体"/>
        </w:rPr>
        <w:t>。专业实践可与论文工作相结合，实践时间不少于</w:t>
      </w:r>
      <w:r>
        <w:rPr>
          <w:rFonts w:ascii="宋体" w:hAnsi="宋体"/>
        </w:rPr>
        <w:t>6</w:t>
      </w:r>
      <w:r>
        <w:rPr>
          <w:rFonts w:hint="eastAsia" w:ascii="宋体" w:hAnsi="宋体"/>
        </w:rPr>
        <w:t>个月。专业实践在入学后第二学年开始，可结合论文在后续学期内完成。专业实践结束后，研究生提交由实践单位确认及指导教师签署意见的书面实践报告，字数不少于</w:t>
      </w:r>
      <w:r>
        <w:rPr>
          <w:rFonts w:ascii="宋体" w:hAnsi="宋体"/>
        </w:rPr>
        <w:t>5000</w:t>
      </w:r>
      <w:r>
        <w:rPr>
          <w:rFonts w:hint="eastAsia" w:ascii="宋体" w:hAnsi="宋体"/>
        </w:rPr>
        <w:t>字，并经学院审核通过后获得</w:t>
      </w:r>
      <w:r>
        <w:rPr>
          <w:rFonts w:ascii="宋体" w:hAnsi="宋体"/>
        </w:rPr>
        <w:t>8</w:t>
      </w:r>
      <w:r>
        <w:rPr>
          <w:rFonts w:hint="eastAsia" w:ascii="宋体" w:hAnsi="宋体"/>
        </w:rPr>
        <w:t>学分。</w:t>
      </w:r>
    </w:p>
    <w:p>
      <w:pPr>
        <w:keepNext w:val="0"/>
        <w:keepLines w:val="0"/>
        <w:pageBreakBefore w:val="0"/>
        <w:widowControl w:val="0"/>
        <w:kinsoku/>
        <w:wordWrap/>
        <w:overflowPunct/>
        <w:topLinePunct w:val="0"/>
        <w:autoSpaceDE/>
        <w:autoSpaceDN/>
        <w:bidi w:val="0"/>
        <w:spacing w:line="300" w:lineRule="auto"/>
        <w:ind w:firstLine="200" w:firstLineChars="200"/>
        <w:textAlignment w:val="auto"/>
        <w:rPr>
          <w:rFonts w:hint="eastAsia" w:ascii="宋体" w:hAnsi="宋体"/>
          <w:sz w:val="10"/>
          <w:szCs w:val="10"/>
        </w:rPr>
      </w:pP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textAlignment w:val="auto"/>
        <w:rPr>
          <w:rFonts w:hint="eastAsia"/>
          <w:b/>
          <w:bCs/>
          <w:szCs w:val="21"/>
        </w:rPr>
      </w:pPr>
      <w:r>
        <w:rPr>
          <w:rFonts w:hint="eastAsia"/>
          <w:b/>
          <w:bCs/>
          <w:szCs w:val="21"/>
        </w:rPr>
        <w:t>七、体育、美育、劳动教育</w:t>
      </w:r>
    </w:p>
    <w:p>
      <w:pPr>
        <w:pStyle w:val="11"/>
        <w:keepNext w:val="0"/>
        <w:keepLines w:val="0"/>
        <w:pageBreakBefore w:val="0"/>
        <w:widowControl w:val="0"/>
        <w:kinsoku/>
        <w:wordWrap/>
        <w:overflowPunct/>
        <w:topLinePunct w:val="0"/>
        <w:autoSpaceDE/>
        <w:autoSpaceDN/>
        <w:bidi w:val="0"/>
        <w:spacing w:line="300" w:lineRule="auto"/>
        <w:textAlignment w:val="auto"/>
        <w:rPr>
          <w:rFonts w:hint="eastAsia"/>
          <w:sz w:val="21"/>
          <w:szCs w:val="21"/>
        </w:rPr>
      </w:pPr>
      <w:r>
        <w:rPr>
          <w:rFonts w:hint="eastAsia"/>
          <w:sz w:val="21"/>
          <w:szCs w:val="21"/>
        </w:rPr>
        <w:t>研究生依据当年的体育、美育、劳动教育研修指南，结合个人兴趣爱好和培养计划安排，制定个人体育、美育、劳动教育环节研修计划并开展研修，由体育、美育、劳动教育牵头单位对环节是否“通过”给予认定。</w:t>
      </w:r>
    </w:p>
    <w:p>
      <w:pPr>
        <w:keepNext w:val="0"/>
        <w:keepLines w:val="0"/>
        <w:pageBreakBefore w:val="0"/>
        <w:widowControl w:val="0"/>
        <w:numPr>
          <w:ilvl w:val="0"/>
          <w:numId w:val="4"/>
        </w:numPr>
        <w:kinsoku/>
        <w:wordWrap/>
        <w:overflowPunct/>
        <w:topLinePunct w:val="0"/>
        <w:autoSpaceDE/>
        <w:autoSpaceDN/>
        <w:bidi w:val="0"/>
        <w:spacing w:before="120" w:beforeLines="50" w:after="120" w:afterLines="50" w:line="300" w:lineRule="auto"/>
        <w:textAlignment w:val="auto"/>
        <w:rPr>
          <w:rFonts w:hint="eastAsia" w:ascii="黑体" w:hAnsi="黑体" w:eastAsia="黑体"/>
          <w:sz w:val="24"/>
          <w:szCs w:val="24"/>
        </w:rPr>
      </w:pPr>
      <w:r>
        <w:rPr>
          <w:rFonts w:hint="eastAsia" w:ascii="黑体" w:hAnsi="黑体" w:eastAsia="黑体"/>
          <w:sz w:val="24"/>
          <w:szCs w:val="24"/>
        </w:rPr>
        <w:t>学位论文</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szCs w:val="21"/>
        </w:rPr>
      </w:pPr>
      <w:r>
        <w:rPr>
          <w:rFonts w:hint="eastAsia"/>
          <w:szCs w:val="21"/>
        </w:rPr>
        <w:t>学位论文应在导师的指导下，由硕士生独立完成。学位论文应科学求实、文字简洁、分析严谨，理论推导和计算正确无误。</w:t>
      </w:r>
      <w:r>
        <w:rPr>
          <w:rFonts w:hint="eastAsia" w:ascii="宋体" w:hAnsi="Courier New" w:cs="宋体"/>
          <w:kern w:val="0"/>
          <w:szCs w:val="21"/>
        </w:rPr>
        <w:t>论文要求选题紧密结合公共卫生和预防医学的实际（践），研究立论科学、数据收集客观、分析方法合理，图表规范，讨论充分，结论明确，引文准确合理。研究结论应注重实用性以及对公共卫生工作具有指导意义，体现应用价值或一定的新见解。</w:t>
      </w:r>
      <w:r>
        <w:rPr>
          <w:rFonts w:hint="eastAsia"/>
          <w:szCs w:val="21"/>
        </w:rPr>
        <w:t>学位论文应实行评审和答辩，硕士生在答辩时应能准确地回答与论文相关的问题。</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szCs w:val="21"/>
        </w:rPr>
      </w:pPr>
      <w:r>
        <w:rPr>
          <w:rFonts w:hint="eastAsia"/>
          <w:szCs w:val="21"/>
        </w:rPr>
        <w:t>论文答辩按照《西安交通大学关于研究生学位申请的若干规定》进行。</w:t>
      </w:r>
    </w:p>
    <w:p>
      <w:pPr>
        <w:keepNext/>
        <w:keepLines/>
        <w:spacing w:before="340" w:after="340" w:line="286" w:lineRule="auto"/>
        <w:jc w:val="center"/>
        <w:outlineLvl w:val="1"/>
        <w:rPr>
          <w:rFonts w:hAnsi="Arial" w:eastAsia="黑体"/>
          <w:bCs/>
          <w:sz w:val="28"/>
          <w:szCs w:val="28"/>
        </w:rPr>
      </w:pPr>
      <w:bookmarkStart w:id="584" w:name="_Toc110427524"/>
      <w:r>
        <w:rPr>
          <w:rFonts w:hAnsi="Arial" w:eastAsia="黑体"/>
          <w:bCs/>
          <w:sz w:val="28"/>
          <w:szCs w:val="28"/>
        </w:rPr>
        <w:t>（</w:t>
      </w:r>
      <w:r>
        <w:rPr>
          <w:rFonts w:hint="eastAsia" w:hAnsi="Arial" w:eastAsia="黑体"/>
          <w:bCs/>
          <w:sz w:val="28"/>
          <w:szCs w:val="28"/>
        </w:rPr>
        <w:t>九</w:t>
      </w:r>
      <w:r>
        <w:rPr>
          <w:rFonts w:hAnsi="Arial" w:eastAsia="黑体"/>
          <w:bCs/>
          <w:sz w:val="28"/>
          <w:szCs w:val="28"/>
        </w:rPr>
        <w:t>）</w:t>
      </w:r>
      <w:r>
        <w:rPr>
          <w:rFonts w:hint="eastAsia" w:hAnsi="Arial" w:eastAsia="黑体"/>
          <w:bCs/>
          <w:sz w:val="28"/>
          <w:szCs w:val="28"/>
        </w:rPr>
        <w:t>护理硕士（1054）</w:t>
      </w:r>
      <w:r>
        <w:rPr>
          <w:rFonts w:hAnsi="Arial" w:eastAsia="黑体"/>
          <w:bCs/>
          <w:sz w:val="28"/>
          <w:szCs w:val="28"/>
        </w:rPr>
        <w:t>培养方案</w:t>
      </w:r>
      <w:bookmarkEnd w:id="584"/>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auto"/>
        <w:textAlignment w:val="auto"/>
        <w:rPr>
          <w:rFonts w:ascii="黑体" w:hAnsi="黑体" w:eastAsia="黑体"/>
          <w:sz w:val="24"/>
          <w:szCs w:val="24"/>
        </w:rPr>
      </w:pPr>
      <w:r>
        <w:rPr>
          <w:rFonts w:ascii="黑体" w:hAnsi="黑体" w:eastAsia="黑体"/>
          <w:sz w:val="24"/>
          <w:szCs w:val="24"/>
        </w:rPr>
        <w:t>一、培养目标</w:t>
      </w:r>
      <w:r>
        <w:rPr>
          <w:rFonts w:hint="eastAsia" w:ascii="黑体" w:hAnsi="黑体" w:eastAsia="黑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1．热爱祖国，遵纪守法，品德良好，有献身于科学的强烈事业心和创新精神，积极为祖国医学事业发展贡献自己的才智。</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2．具有较强的临床护理</w:t>
      </w:r>
      <w:r>
        <w:rPr>
          <w:rFonts w:hint="eastAsia"/>
          <w:szCs w:val="21"/>
        </w:rPr>
        <w:t>、</w:t>
      </w:r>
      <w:r>
        <w:rPr>
          <w:szCs w:val="21"/>
        </w:rPr>
        <w:t>分析和</w:t>
      </w:r>
      <w:r>
        <w:rPr>
          <w:rFonts w:hint="eastAsia"/>
          <w:szCs w:val="21"/>
        </w:rPr>
        <w:t>解决</w:t>
      </w:r>
      <w:r>
        <w:rPr>
          <w:szCs w:val="21"/>
        </w:rPr>
        <w:t>问题的能力，能独立处理本学科（一般指二级学科，内科与外科分别不少于3个三级学科，下同）领域内的常见病的护理，掌握本学科的基础理论和系统的专业知识。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3．能熟练掌握一门外语，阅读本专业的外文书刊等。</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auto"/>
        <w:textAlignment w:val="auto"/>
        <w:rPr>
          <w:rFonts w:ascii="黑体" w:hAnsi="黑体" w:eastAsia="黑体"/>
          <w:sz w:val="24"/>
          <w:szCs w:val="24"/>
        </w:rPr>
      </w:pPr>
      <w:r>
        <w:rPr>
          <w:rFonts w:ascii="黑体" w:hAnsi="黑体" w:eastAsia="黑体"/>
          <w:sz w:val="24"/>
          <w:szCs w:val="24"/>
        </w:rPr>
        <w:t>二、</w:t>
      </w:r>
      <w:r>
        <w:rPr>
          <w:rFonts w:hint="eastAsia" w:ascii="黑体" w:hAnsi="黑体" w:eastAsia="黑体"/>
          <w:sz w:val="24"/>
          <w:szCs w:val="24"/>
        </w:rPr>
        <w:t>专业</w:t>
      </w:r>
      <w:r>
        <w:rPr>
          <w:rFonts w:ascii="黑体" w:hAnsi="黑体" w:eastAsia="黑体"/>
          <w:sz w:val="24"/>
          <w:szCs w:val="24"/>
        </w:rPr>
        <w:t>方向</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auto"/>
        <w:ind w:firstLine="420" w:firstLineChars="200"/>
        <w:textAlignment w:val="auto"/>
        <w:rPr>
          <w:szCs w:val="21"/>
        </w:rPr>
      </w:pPr>
      <w:r>
        <w:rPr>
          <w:rFonts w:hint="eastAsia"/>
          <w:szCs w:val="21"/>
        </w:rPr>
        <w:t>护理学</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auto"/>
        <w:textAlignment w:val="auto"/>
        <w:rPr>
          <w:rFonts w:ascii="黑体" w:hAnsi="黑体" w:eastAsia="黑体"/>
          <w:sz w:val="24"/>
          <w:szCs w:val="24"/>
        </w:rPr>
      </w:pPr>
      <w:r>
        <w:rPr>
          <w:rFonts w:ascii="黑体" w:hAnsi="黑体" w:eastAsia="黑体"/>
          <w:sz w:val="24"/>
          <w:szCs w:val="24"/>
        </w:rPr>
        <w:t>三、学习年限</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rFonts w:hint="eastAsia"/>
          <w:szCs w:val="21"/>
        </w:rPr>
        <w:t>护理硕士研究生在校学习年限为</w:t>
      </w:r>
      <w:r>
        <w:rPr>
          <w:szCs w:val="21"/>
        </w:rPr>
        <w:t>3</w:t>
      </w:r>
      <w:r>
        <w:rPr>
          <w:rFonts w:hint="eastAsia"/>
          <w:szCs w:val="21"/>
        </w:rPr>
        <w:t>年。第一学年学习专业基础理论，掌握进行科研所必需的基本技能并尽可能写出文献综述。第二、三学年学习查阅文献，与导师共同商定具体研究课题，进行科学研究，并形成论文。</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auto"/>
        <w:textAlignment w:val="auto"/>
        <w:rPr>
          <w:rFonts w:ascii="黑体" w:hAnsi="黑体" w:eastAsia="黑体"/>
          <w:sz w:val="24"/>
          <w:szCs w:val="24"/>
        </w:rPr>
      </w:pPr>
      <w:r>
        <w:rPr>
          <w:rFonts w:ascii="黑体" w:hAnsi="黑体" w:eastAsia="黑体"/>
          <w:sz w:val="24"/>
          <w:szCs w:val="24"/>
        </w:rPr>
        <w:t>四、培养方式</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1．实行导师指导和课题组集体培养相结合的方式。</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2．课程学习可采用上课、自学、辅导、讨论等方式。</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3．</w:t>
      </w:r>
      <w:r>
        <w:rPr>
          <w:rFonts w:hint="eastAsia" w:ascii="宋体" w:hAnsi="宋体" w:cs="宋体"/>
          <w:szCs w:val="21"/>
        </w:rPr>
        <w:t>导师应根据本培养方案和因材施教的原则</w:t>
      </w:r>
      <w:r>
        <w:rPr>
          <w:szCs w:val="21"/>
        </w:rPr>
        <w:t>，于硕士生入学后2个月内，制定出具体的培养计划。</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4．开题应注重培养硕士生的创新能力及护理科研能力，在导师的指导下，通过查阅文献、调查研究后由本人确定。开题报告必须有详细记录，</w:t>
      </w:r>
      <w:r>
        <w:rPr>
          <w:bCs/>
          <w:szCs w:val="21"/>
        </w:rPr>
        <w:t>记录填写在《西安交通大学研究生开题报告》中。</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5．临床实习由各医院研究生管理部门统一负责安排。</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6．硕士生应参加校、院组织的研讨会或其它学术活动。根据科研工作的需要，可适当安排外出参加有关学术活动。</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7</w:t>
      </w:r>
      <w:r>
        <w:rPr>
          <w:rFonts w:hint="eastAsia"/>
          <w:szCs w:val="21"/>
        </w:rPr>
        <w:t>．</w:t>
      </w:r>
      <w:r>
        <w:rPr>
          <w:szCs w:val="21"/>
        </w:rPr>
        <w:t>硕士生应在第四学期结束前完成中期考核，考核不通过者，可以参加下学期的中期考核</w:t>
      </w:r>
      <w:r>
        <w:rPr>
          <w:rFonts w:hint="eastAsia"/>
          <w:szCs w:val="21"/>
        </w:rPr>
        <w:t>。</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contextualSpacing/>
        <w:textAlignment w:val="auto"/>
        <w:rPr>
          <w:bCs/>
          <w:szCs w:val="21"/>
        </w:rPr>
      </w:pPr>
      <w:r>
        <w:rPr>
          <w:rFonts w:hint="eastAsia"/>
          <w:kern w:val="0"/>
          <w:szCs w:val="21"/>
        </w:rPr>
        <w:t>8. 研究生的开题报告和中期报告中应包含实验安全风险评估的内容。</w:t>
      </w:r>
    </w:p>
    <w:p>
      <w:pPr>
        <w:keepNext w:val="0"/>
        <w:keepLines w:val="0"/>
        <w:pageBreakBefore w:val="0"/>
        <w:widowControl w:val="0"/>
        <w:kinsoku/>
        <w:wordWrap/>
        <w:overflowPunct/>
        <w:topLinePunct w:val="0"/>
        <w:autoSpaceDE/>
        <w:autoSpaceDN/>
        <w:bidi w:val="0"/>
        <w:adjustRightInd/>
        <w:snapToGrid/>
        <w:spacing w:line="300" w:lineRule="auto"/>
        <w:textAlignment w:val="auto"/>
        <w:rPr>
          <w:sz w:val="10"/>
          <w:szCs w:val="10"/>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auto"/>
        <w:textAlignment w:val="auto"/>
        <w:rPr>
          <w:rFonts w:ascii="黑体" w:hAnsi="黑体" w:eastAsia="黑体"/>
          <w:sz w:val="24"/>
          <w:szCs w:val="24"/>
        </w:rPr>
      </w:pPr>
      <w:r>
        <w:rPr>
          <w:rFonts w:ascii="黑体" w:hAnsi="黑体" w:eastAsia="黑体"/>
          <w:sz w:val="24"/>
          <w:szCs w:val="24"/>
        </w:rPr>
        <w:t>五、课程学习</w:t>
      </w:r>
    </w:p>
    <w:p>
      <w:pPr>
        <w:keepNext w:val="0"/>
        <w:keepLines w:val="0"/>
        <w:pageBreakBefore w:val="0"/>
        <w:widowControl w:val="0"/>
        <w:kinsoku/>
        <w:wordWrap/>
        <w:overflowPunct/>
        <w:topLinePunct w:val="0"/>
        <w:autoSpaceDE/>
        <w:autoSpaceDN/>
        <w:bidi w:val="0"/>
        <w:adjustRightInd/>
        <w:snapToGrid/>
        <w:spacing w:after="120" w:afterLines="50" w:line="300" w:lineRule="auto"/>
        <w:ind w:firstLine="420" w:firstLineChars="200"/>
        <w:textAlignment w:val="auto"/>
        <w:rPr>
          <w:szCs w:val="21"/>
        </w:rPr>
      </w:pPr>
      <w:r>
        <w:rPr>
          <w:szCs w:val="21"/>
        </w:rPr>
        <w:t>硕士研究生的学习实行学分制。本学科的硕士研究生在校期间至少修满</w:t>
      </w:r>
      <w:r>
        <w:rPr>
          <w:rFonts w:hint="eastAsia"/>
          <w:szCs w:val="21"/>
        </w:rPr>
        <w:t>44</w:t>
      </w:r>
      <w:r>
        <w:rPr>
          <w:szCs w:val="21"/>
        </w:rPr>
        <w:t>学分，其中校学位必修课程不少于5学分，学院公共学位课</w:t>
      </w:r>
      <w:r>
        <w:rPr>
          <w:rFonts w:hint="eastAsia"/>
          <w:szCs w:val="21"/>
        </w:rPr>
        <w:t>4</w:t>
      </w:r>
      <w:r>
        <w:rPr>
          <w:szCs w:val="21"/>
        </w:rPr>
        <w:t>学分，专业</w:t>
      </w:r>
      <w:r>
        <w:rPr>
          <w:rFonts w:hint="eastAsia"/>
          <w:szCs w:val="21"/>
        </w:rPr>
        <w:t>基础</w:t>
      </w:r>
      <w:r>
        <w:rPr>
          <w:szCs w:val="21"/>
        </w:rPr>
        <w:t>课</w:t>
      </w:r>
      <w:r>
        <w:rPr>
          <w:rFonts w:hint="eastAsia"/>
          <w:szCs w:val="21"/>
        </w:rPr>
        <w:t>10</w:t>
      </w:r>
      <w:r>
        <w:rPr>
          <w:szCs w:val="21"/>
        </w:rPr>
        <w:t>学分，专业必修课</w:t>
      </w:r>
      <w:r>
        <w:rPr>
          <w:rFonts w:hint="eastAsia"/>
          <w:szCs w:val="21"/>
        </w:rPr>
        <w:t>3</w:t>
      </w:r>
      <w:r>
        <w:rPr>
          <w:szCs w:val="21"/>
        </w:rPr>
        <w:t>学分，临床实践1</w:t>
      </w:r>
      <w:r>
        <w:rPr>
          <w:rFonts w:hint="eastAsia"/>
          <w:szCs w:val="21"/>
        </w:rPr>
        <w:t>8</w:t>
      </w:r>
      <w:r>
        <w:rPr>
          <w:szCs w:val="21"/>
        </w:rPr>
        <w:t>学分。</w:t>
      </w:r>
      <w:r>
        <w:rPr>
          <w:bCs/>
        </w:rPr>
        <w:t>另外要求必修环节</w:t>
      </w:r>
      <w:r>
        <w:rPr>
          <w:rFonts w:hint="eastAsia"/>
          <w:bCs/>
        </w:rPr>
        <w:t>4</w:t>
      </w:r>
      <w:r>
        <w:rPr>
          <w:bCs/>
        </w:rPr>
        <w:t>学分，</w:t>
      </w:r>
      <w:r>
        <w:rPr>
          <w:szCs w:val="21"/>
        </w:rPr>
        <w:t>其中学术活动1学分，中期考核3学分。</w:t>
      </w:r>
    </w:p>
    <w:tbl>
      <w:tblPr>
        <w:tblStyle w:val="37"/>
        <w:tblW w:w="8230" w:type="dxa"/>
        <w:tblInd w:w="3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063"/>
        <w:gridCol w:w="1171"/>
        <w:gridCol w:w="1295"/>
        <w:gridCol w:w="2614"/>
        <w:gridCol w:w="574"/>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790" w:type="dxa"/>
            <w:tcBorders>
              <w:top w:val="single" w:color="auto" w:sz="4" w:space="0"/>
              <w:left w:val="single" w:color="auto" w:sz="4" w:space="0"/>
              <w:bottom w:val="single" w:color="auto" w:sz="4" w:space="0"/>
              <w:right w:val="single" w:color="auto" w:sz="4" w:space="0"/>
            </w:tcBorders>
            <w:vAlign w:val="center"/>
          </w:tcPr>
          <w:p>
            <w:pPr>
              <w:spacing w:before="48" w:beforeLines="20" w:after="48" w:afterLines="20" w:line="286" w:lineRule="auto"/>
              <w:rPr>
                <w:b/>
                <w:szCs w:val="21"/>
              </w:rPr>
            </w:pPr>
            <w:r>
              <w:rPr>
                <w:b/>
                <w:szCs w:val="21"/>
              </w:rPr>
              <w:t>课程类型</w:t>
            </w:r>
          </w:p>
        </w:tc>
        <w:tc>
          <w:tcPr>
            <w:tcW w:w="1063"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b/>
                <w:szCs w:val="21"/>
              </w:rPr>
            </w:pPr>
            <w:r>
              <w:rPr>
                <w:b/>
                <w:szCs w:val="21"/>
              </w:rPr>
              <w:t>课程性质</w:t>
            </w:r>
          </w:p>
        </w:tc>
        <w:tc>
          <w:tcPr>
            <w:tcW w:w="1171"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b/>
                <w:szCs w:val="21"/>
              </w:rPr>
            </w:pPr>
            <w:r>
              <w:rPr>
                <w:b/>
                <w:szCs w:val="21"/>
              </w:rPr>
              <w:t>课程编号</w:t>
            </w:r>
          </w:p>
        </w:tc>
        <w:tc>
          <w:tcPr>
            <w:tcW w:w="1295"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b/>
                <w:szCs w:val="21"/>
              </w:rPr>
            </w:pPr>
            <w:r>
              <w:rPr>
                <w:rFonts w:hint="eastAsia"/>
                <w:b/>
                <w:szCs w:val="21"/>
              </w:rPr>
              <w:t>统一编码</w:t>
            </w:r>
          </w:p>
        </w:tc>
        <w:tc>
          <w:tcPr>
            <w:tcW w:w="2614"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b/>
                <w:szCs w:val="21"/>
              </w:rPr>
            </w:pPr>
            <w:r>
              <w:rPr>
                <w:b/>
                <w:szCs w:val="21"/>
              </w:rPr>
              <w:t>课程名称</w:t>
            </w:r>
          </w:p>
        </w:tc>
        <w:tc>
          <w:tcPr>
            <w:tcW w:w="574"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b/>
                <w:szCs w:val="21"/>
              </w:rPr>
            </w:pPr>
            <w:r>
              <w:rPr>
                <w:b/>
                <w:szCs w:val="21"/>
              </w:rPr>
              <w:t>学分</w:t>
            </w:r>
          </w:p>
        </w:tc>
        <w:tc>
          <w:tcPr>
            <w:tcW w:w="723"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b/>
                <w:szCs w:val="21"/>
              </w:rPr>
            </w:pPr>
            <w:r>
              <w:rPr>
                <w:b/>
                <w:szCs w:val="21"/>
              </w:rPr>
              <w:t>应修学分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dxa"/>
            <w:vMerge w:val="restart"/>
            <w:tcBorders>
              <w:top w:val="single" w:color="auto" w:sz="4" w:space="0"/>
              <w:left w:val="single" w:color="auto" w:sz="4" w:space="0"/>
              <w:right w:val="single" w:color="auto" w:sz="4" w:space="0"/>
            </w:tcBorders>
            <w:vAlign w:val="center"/>
          </w:tcPr>
          <w:p>
            <w:pPr>
              <w:spacing w:before="240" w:beforeLines="100" w:line="286" w:lineRule="auto"/>
              <w:ind w:firstLine="105" w:firstLineChars="50"/>
              <w:jc w:val="center"/>
              <w:rPr>
                <w:szCs w:val="21"/>
              </w:rPr>
            </w:pPr>
            <w:r>
              <w:rPr>
                <w:szCs w:val="21"/>
              </w:rPr>
              <w:t>学位课</w:t>
            </w:r>
          </w:p>
        </w:tc>
        <w:tc>
          <w:tcPr>
            <w:tcW w:w="1063" w:type="dxa"/>
            <w:vMerge w:val="restart"/>
            <w:tcBorders>
              <w:top w:val="single" w:color="auto" w:sz="4" w:space="0"/>
              <w:left w:val="single" w:color="auto" w:sz="4" w:space="0"/>
              <w:right w:val="single" w:color="auto" w:sz="4" w:space="0"/>
            </w:tcBorders>
            <w:vAlign w:val="center"/>
          </w:tcPr>
          <w:p>
            <w:pPr>
              <w:spacing w:line="286" w:lineRule="auto"/>
              <w:jc w:val="center"/>
              <w:rPr>
                <w:szCs w:val="21"/>
              </w:rPr>
            </w:pPr>
            <w:r>
              <w:rPr>
                <w:szCs w:val="21"/>
              </w:rPr>
              <w:t>校公共</w:t>
            </w:r>
          </w:p>
          <w:p>
            <w:pPr>
              <w:spacing w:line="286" w:lineRule="auto"/>
              <w:jc w:val="center"/>
              <w:rPr>
                <w:szCs w:val="21"/>
              </w:rPr>
            </w:pPr>
            <w:r>
              <w:rPr>
                <w:szCs w:val="21"/>
              </w:rPr>
              <w:t>学位课</w:t>
            </w:r>
          </w:p>
        </w:tc>
        <w:tc>
          <w:tcPr>
            <w:tcW w:w="1171"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rPr>
            </w:pPr>
            <w:r>
              <w:rPr>
                <w:rFonts w:hint="eastAsia"/>
                <w:szCs w:val="21"/>
              </w:rPr>
              <w:t>141003</w:t>
            </w:r>
          </w:p>
        </w:tc>
        <w:tc>
          <w:tcPr>
            <w:tcW w:w="1295"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rFonts w:ascii="宋体" w:hAnsi="宋体"/>
                <w:szCs w:val="21"/>
              </w:rPr>
            </w:pPr>
            <w:r>
              <w:rPr>
                <w:rFonts w:ascii="宋体" w:hAnsi="宋体"/>
                <w:szCs w:val="21"/>
              </w:rPr>
              <w:t>MLMD600314</w:t>
            </w:r>
          </w:p>
        </w:tc>
        <w:tc>
          <w:tcPr>
            <w:tcW w:w="2614" w:type="dxa"/>
            <w:tcBorders>
              <w:top w:val="single" w:color="auto" w:sz="4" w:space="0"/>
              <w:left w:val="single" w:color="auto" w:sz="4" w:space="0"/>
              <w:bottom w:val="single" w:color="auto" w:sz="4" w:space="0"/>
              <w:right w:val="single" w:color="auto" w:sz="4" w:space="0"/>
            </w:tcBorders>
            <w:vAlign w:val="center"/>
          </w:tcPr>
          <w:p>
            <w:pPr>
              <w:spacing w:line="286" w:lineRule="auto"/>
              <w:rPr>
                <w:szCs w:val="21"/>
              </w:rPr>
            </w:pPr>
            <w:r>
              <w:rPr>
                <w:rFonts w:hint="eastAsia"/>
                <w:szCs w:val="21"/>
              </w:rPr>
              <w:t>新时代中国特色社会主义理论与实践</w:t>
            </w:r>
          </w:p>
        </w:tc>
        <w:tc>
          <w:tcPr>
            <w:tcW w:w="574"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rPr>
            </w:pPr>
            <w:r>
              <w:rPr>
                <w:szCs w:val="21"/>
              </w:rPr>
              <w:t>2</w:t>
            </w:r>
          </w:p>
        </w:tc>
        <w:tc>
          <w:tcPr>
            <w:tcW w:w="723" w:type="dxa"/>
            <w:vMerge w:val="restart"/>
            <w:tcBorders>
              <w:top w:val="single" w:color="auto" w:sz="4" w:space="0"/>
              <w:left w:val="single" w:color="auto" w:sz="4" w:space="0"/>
              <w:right w:val="single" w:color="auto" w:sz="4" w:space="0"/>
            </w:tcBorders>
            <w:vAlign w:val="center"/>
          </w:tcPr>
          <w:p>
            <w:pPr>
              <w:spacing w:line="286" w:lineRule="auto"/>
              <w:jc w:val="center"/>
              <w:rPr>
                <w:szCs w:val="21"/>
              </w:rPr>
            </w:pP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dxa"/>
            <w:vMerge w:val="continue"/>
            <w:tcBorders>
              <w:left w:val="single" w:color="auto" w:sz="4" w:space="0"/>
              <w:right w:val="single" w:color="auto" w:sz="4" w:space="0"/>
            </w:tcBorders>
            <w:vAlign w:val="center"/>
          </w:tcPr>
          <w:p>
            <w:pPr>
              <w:spacing w:line="286" w:lineRule="auto"/>
              <w:jc w:val="center"/>
              <w:rPr>
                <w:szCs w:val="21"/>
              </w:rPr>
            </w:pPr>
          </w:p>
        </w:tc>
        <w:tc>
          <w:tcPr>
            <w:tcW w:w="1063" w:type="dxa"/>
            <w:vMerge w:val="continue"/>
            <w:tcBorders>
              <w:left w:val="single" w:color="auto" w:sz="4" w:space="0"/>
              <w:right w:val="single" w:color="auto" w:sz="4" w:space="0"/>
            </w:tcBorders>
            <w:vAlign w:val="center"/>
          </w:tcPr>
          <w:p>
            <w:pPr>
              <w:spacing w:line="286" w:lineRule="auto"/>
              <w:jc w:val="center"/>
              <w:rPr>
                <w:szCs w:val="21"/>
              </w:rPr>
            </w:pPr>
          </w:p>
        </w:tc>
        <w:tc>
          <w:tcPr>
            <w:tcW w:w="1171"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rPr>
            </w:pPr>
            <w:r>
              <w:rPr>
                <w:rFonts w:hint="eastAsia"/>
                <w:szCs w:val="21"/>
              </w:rPr>
              <w:t>141005</w:t>
            </w:r>
          </w:p>
        </w:tc>
        <w:tc>
          <w:tcPr>
            <w:tcW w:w="1295"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rFonts w:ascii="宋体" w:hAnsi="宋体"/>
                <w:szCs w:val="21"/>
              </w:rPr>
            </w:pPr>
            <w:r>
              <w:rPr>
                <w:rFonts w:ascii="宋体" w:hAnsi="宋体"/>
                <w:szCs w:val="21"/>
              </w:rPr>
              <w:t>PHLS600114</w:t>
            </w:r>
          </w:p>
        </w:tc>
        <w:tc>
          <w:tcPr>
            <w:tcW w:w="2614" w:type="dxa"/>
            <w:tcBorders>
              <w:top w:val="single" w:color="auto" w:sz="4" w:space="0"/>
              <w:left w:val="single" w:color="auto" w:sz="4" w:space="0"/>
              <w:bottom w:val="single" w:color="auto" w:sz="4" w:space="0"/>
              <w:right w:val="single" w:color="auto" w:sz="4" w:space="0"/>
            </w:tcBorders>
            <w:vAlign w:val="center"/>
          </w:tcPr>
          <w:p>
            <w:pPr>
              <w:spacing w:line="286" w:lineRule="auto"/>
              <w:rPr>
                <w:szCs w:val="21"/>
              </w:rPr>
            </w:pPr>
            <w:r>
              <w:rPr>
                <w:szCs w:val="21"/>
              </w:rPr>
              <w:t>自然辩证法概论</w:t>
            </w:r>
          </w:p>
        </w:tc>
        <w:tc>
          <w:tcPr>
            <w:tcW w:w="574"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rPr>
            </w:pPr>
            <w:r>
              <w:rPr>
                <w:szCs w:val="21"/>
              </w:rPr>
              <w:t>1</w:t>
            </w:r>
          </w:p>
        </w:tc>
        <w:tc>
          <w:tcPr>
            <w:tcW w:w="723" w:type="dxa"/>
            <w:vMerge w:val="continue"/>
            <w:tcBorders>
              <w:left w:val="single" w:color="auto" w:sz="4" w:space="0"/>
              <w:right w:val="single" w:color="auto" w:sz="4" w:space="0"/>
            </w:tcBorders>
            <w:vAlign w:val="center"/>
          </w:tcPr>
          <w:p>
            <w:pPr>
              <w:spacing w:line="28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dxa"/>
            <w:vMerge w:val="continue"/>
            <w:tcBorders>
              <w:left w:val="single" w:color="auto" w:sz="4" w:space="0"/>
              <w:right w:val="single" w:color="auto" w:sz="4" w:space="0"/>
            </w:tcBorders>
            <w:vAlign w:val="center"/>
          </w:tcPr>
          <w:p>
            <w:pPr>
              <w:spacing w:line="286" w:lineRule="auto"/>
              <w:jc w:val="center"/>
              <w:rPr>
                <w:szCs w:val="21"/>
              </w:rPr>
            </w:pPr>
          </w:p>
        </w:tc>
        <w:tc>
          <w:tcPr>
            <w:tcW w:w="1063" w:type="dxa"/>
            <w:vMerge w:val="continue"/>
            <w:tcBorders>
              <w:left w:val="single" w:color="auto" w:sz="4" w:space="0"/>
              <w:bottom w:val="single" w:color="auto" w:sz="4" w:space="0"/>
              <w:right w:val="single" w:color="auto" w:sz="4" w:space="0"/>
            </w:tcBorders>
            <w:vAlign w:val="center"/>
          </w:tcPr>
          <w:p>
            <w:pPr>
              <w:spacing w:line="286" w:lineRule="auto"/>
              <w:jc w:val="center"/>
              <w:rPr>
                <w:szCs w:val="21"/>
              </w:rPr>
            </w:pPr>
          </w:p>
        </w:tc>
        <w:tc>
          <w:tcPr>
            <w:tcW w:w="1171" w:type="dxa"/>
            <w:tcBorders>
              <w:top w:val="single" w:color="auto" w:sz="4" w:space="0"/>
              <w:left w:val="single" w:color="auto" w:sz="4" w:space="0"/>
              <w:bottom w:val="single" w:color="auto" w:sz="4" w:space="0"/>
              <w:right w:val="single" w:color="auto" w:sz="4" w:space="0"/>
            </w:tcBorders>
          </w:tcPr>
          <w:p>
            <w:pPr>
              <w:spacing w:line="286" w:lineRule="auto"/>
              <w:jc w:val="center"/>
              <w:rPr>
                <w:szCs w:val="21"/>
              </w:rPr>
            </w:pPr>
            <w:r>
              <w:rPr>
                <w:rFonts w:hint="eastAsia"/>
                <w:szCs w:val="21"/>
              </w:rPr>
              <w:t>121068</w:t>
            </w:r>
          </w:p>
        </w:tc>
        <w:tc>
          <w:tcPr>
            <w:tcW w:w="1295" w:type="dxa"/>
            <w:tcBorders>
              <w:top w:val="single" w:color="auto" w:sz="4" w:space="0"/>
              <w:left w:val="single" w:color="auto" w:sz="4" w:space="0"/>
              <w:bottom w:val="single" w:color="auto" w:sz="4" w:space="0"/>
              <w:right w:val="single" w:color="auto" w:sz="4" w:space="0"/>
            </w:tcBorders>
          </w:tcPr>
          <w:p>
            <w:pPr>
              <w:spacing w:line="286" w:lineRule="auto"/>
              <w:jc w:val="center"/>
              <w:rPr>
                <w:rFonts w:ascii="宋体" w:hAnsi="宋体"/>
                <w:szCs w:val="21"/>
              </w:rPr>
            </w:pPr>
            <w:r>
              <w:rPr>
                <w:rFonts w:ascii="宋体" w:hAnsi="宋体"/>
                <w:szCs w:val="21"/>
              </w:rPr>
              <w:t>ENGL602212</w:t>
            </w:r>
          </w:p>
        </w:tc>
        <w:tc>
          <w:tcPr>
            <w:tcW w:w="2614" w:type="dxa"/>
            <w:tcBorders>
              <w:top w:val="single" w:color="auto" w:sz="4" w:space="0"/>
              <w:left w:val="single" w:color="auto" w:sz="4" w:space="0"/>
              <w:bottom w:val="single" w:color="auto" w:sz="4" w:space="0"/>
              <w:right w:val="single" w:color="auto" w:sz="4" w:space="0"/>
            </w:tcBorders>
          </w:tcPr>
          <w:p>
            <w:pPr>
              <w:spacing w:line="286" w:lineRule="auto"/>
              <w:rPr>
                <w:szCs w:val="21"/>
                <w:lang w:val="zh-CN"/>
              </w:rPr>
            </w:pPr>
            <w:r>
              <w:t>医学英语</w:t>
            </w:r>
          </w:p>
        </w:tc>
        <w:tc>
          <w:tcPr>
            <w:tcW w:w="574"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rPr>
            </w:pPr>
            <w:r>
              <w:rPr>
                <w:szCs w:val="21"/>
              </w:rPr>
              <w:t>2</w:t>
            </w:r>
          </w:p>
        </w:tc>
        <w:tc>
          <w:tcPr>
            <w:tcW w:w="723" w:type="dxa"/>
            <w:vMerge w:val="continue"/>
            <w:tcBorders>
              <w:left w:val="single" w:color="auto" w:sz="4" w:space="0"/>
              <w:bottom w:val="single" w:color="auto" w:sz="4" w:space="0"/>
              <w:right w:val="single" w:color="auto" w:sz="4" w:space="0"/>
            </w:tcBorders>
            <w:vAlign w:val="center"/>
          </w:tcPr>
          <w:p>
            <w:pPr>
              <w:spacing w:line="28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dxa"/>
            <w:vMerge w:val="continue"/>
            <w:tcBorders>
              <w:left w:val="single" w:color="auto" w:sz="4" w:space="0"/>
              <w:right w:val="single" w:color="auto" w:sz="4" w:space="0"/>
            </w:tcBorders>
            <w:vAlign w:val="center"/>
          </w:tcPr>
          <w:p>
            <w:pPr>
              <w:spacing w:line="286" w:lineRule="auto"/>
              <w:jc w:val="center"/>
              <w:rPr>
                <w:szCs w:val="21"/>
              </w:rPr>
            </w:pPr>
          </w:p>
        </w:tc>
        <w:tc>
          <w:tcPr>
            <w:tcW w:w="1063" w:type="dxa"/>
            <w:vMerge w:val="restart"/>
            <w:tcBorders>
              <w:top w:val="single" w:color="auto" w:sz="4" w:space="0"/>
              <w:left w:val="single" w:color="auto" w:sz="4" w:space="0"/>
              <w:right w:val="single" w:color="auto" w:sz="4" w:space="0"/>
            </w:tcBorders>
            <w:vAlign w:val="center"/>
          </w:tcPr>
          <w:p>
            <w:pPr>
              <w:spacing w:line="286" w:lineRule="auto"/>
              <w:jc w:val="center"/>
              <w:rPr>
                <w:szCs w:val="21"/>
              </w:rPr>
            </w:pPr>
            <w:r>
              <w:rPr>
                <w:szCs w:val="21"/>
              </w:rPr>
              <w:t>院公共</w:t>
            </w:r>
          </w:p>
          <w:p>
            <w:pPr>
              <w:spacing w:line="286" w:lineRule="auto"/>
              <w:jc w:val="center"/>
              <w:rPr>
                <w:szCs w:val="21"/>
              </w:rPr>
            </w:pPr>
            <w:r>
              <w:rPr>
                <w:szCs w:val="21"/>
              </w:rPr>
              <w:t>学位课</w:t>
            </w:r>
          </w:p>
        </w:tc>
        <w:tc>
          <w:tcPr>
            <w:tcW w:w="1171"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rPr>
            </w:pPr>
            <w:r>
              <w:rPr>
                <w:rFonts w:hint="eastAsia"/>
                <w:szCs w:val="21"/>
              </w:rPr>
              <w:t>152050</w:t>
            </w:r>
          </w:p>
        </w:tc>
        <w:tc>
          <w:tcPr>
            <w:tcW w:w="1295"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rFonts w:ascii="宋体" w:hAnsi="宋体"/>
                <w:szCs w:val="21"/>
              </w:rPr>
            </w:pPr>
            <w:r>
              <w:rPr>
                <w:rFonts w:ascii="宋体" w:hAnsi="宋体"/>
                <w:szCs w:val="21"/>
              </w:rPr>
              <w:t>PUBH610715</w:t>
            </w:r>
          </w:p>
        </w:tc>
        <w:tc>
          <w:tcPr>
            <w:tcW w:w="2614" w:type="dxa"/>
            <w:tcBorders>
              <w:top w:val="single" w:color="auto" w:sz="4" w:space="0"/>
              <w:left w:val="single" w:color="auto" w:sz="4" w:space="0"/>
              <w:bottom w:val="single" w:color="auto" w:sz="4" w:space="0"/>
              <w:right w:val="single" w:color="auto" w:sz="4" w:space="0"/>
            </w:tcBorders>
            <w:vAlign w:val="center"/>
          </w:tcPr>
          <w:p>
            <w:pPr>
              <w:spacing w:line="286" w:lineRule="auto"/>
              <w:rPr>
                <w:szCs w:val="21"/>
              </w:rPr>
            </w:pPr>
            <w:r>
              <w:rPr>
                <w:szCs w:val="21"/>
              </w:rPr>
              <w:t>医学统计学</w:t>
            </w:r>
          </w:p>
        </w:tc>
        <w:tc>
          <w:tcPr>
            <w:tcW w:w="574"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rPr>
            </w:pPr>
            <w:r>
              <w:rPr>
                <w:szCs w:val="21"/>
              </w:rPr>
              <w:t>2</w:t>
            </w:r>
          </w:p>
        </w:tc>
        <w:tc>
          <w:tcPr>
            <w:tcW w:w="723" w:type="dxa"/>
            <w:vMerge w:val="restart"/>
            <w:tcBorders>
              <w:top w:val="single" w:color="auto" w:sz="4" w:space="0"/>
              <w:left w:val="single" w:color="auto" w:sz="4" w:space="0"/>
              <w:right w:val="single" w:color="auto" w:sz="4" w:space="0"/>
            </w:tcBorders>
            <w:vAlign w:val="center"/>
          </w:tcPr>
          <w:p>
            <w:pPr>
              <w:spacing w:line="286" w:lineRule="auto"/>
              <w:jc w:val="center"/>
              <w:rPr>
                <w:szCs w:val="21"/>
              </w:rPr>
            </w:pPr>
            <w:r>
              <w:rPr>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dxa"/>
            <w:vMerge w:val="continue"/>
            <w:tcBorders>
              <w:left w:val="single" w:color="auto" w:sz="4" w:space="0"/>
              <w:right w:val="single" w:color="auto" w:sz="4" w:space="0"/>
            </w:tcBorders>
            <w:vAlign w:val="center"/>
          </w:tcPr>
          <w:p>
            <w:pPr>
              <w:spacing w:line="286" w:lineRule="auto"/>
              <w:jc w:val="center"/>
              <w:rPr>
                <w:szCs w:val="21"/>
              </w:rPr>
            </w:pPr>
          </w:p>
        </w:tc>
        <w:tc>
          <w:tcPr>
            <w:tcW w:w="1063" w:type="dxa"/>
            <w:vMerge w:val="continue"/>
            <w:tcBorders>
              <w:left w:val="single" w:color="auto" w:sz="4" w:space="0"/>
              <w:right w:val="single" w:color="auto" w:sz="4" w:space="0"/>
            </w:tcBorders>
            <w:vAlign w:val="center"/>
          </w:tcPr>
          <w:p>
            <w:pPr>
              <w:spacing w:line="286" w:lineRule="auto"/>
              <w:jc w:val="center"/>
              <w:rPr>
                <w:szCs w:val="21"/>
              </w:rPr>
            </w:pPr>
          </w:p>
        </w:tc>
        <w:tc>
          <w:tcPr>
            <w:tcW w:w="1171"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rPr>
            </w:pPr>
            <w:r>
              <w:rPr>
                <w:rFonts w:hint="eastAsia"/>
                <w:szCs w:val="21"/>
              </w:rPr>
              <w:t>152044</w:t>
            </w:r>
          </w:p>
        </w:tc>
        <w:tc>
          <w:tcPr>
            <w:tcW w:w="1295"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rFonts w:ascii="宋体" w:hAnsi="宋体"/>
                <w:szCs w:val="21"/>
              </w:rPr>
            </w:pPr>
            <w:r>
              <w:rPr>
                <w:rFonts w:ascii="宋体" w:hAnsi="宋体"/>
                <w:szCs w:val="21"/>
              </w:rPr>
              <w:t>PUBH610115</w:t>
            </w:r>
          </w:p>
        </w:tc>
        <w:tc>
          <w:tcPr>
            <w:tcW w:w="2614" w:type="dxa"/>
            <w:tcBorders>
              <w:top w:val="single" w:color="auto" w:sz="4" w:space="0"/>
              <w:left w:val="single" w:color="auto" w:sz="4" w:space="0"/>
              <w:bottom w:val="single" w:color="auto" w:sz="4" w:space="0"/>
              <w:right w:val="single" w:color="auto" w:sz="4" w:space="0"/>
            </w:tcBorders>
            <w:vAlign w:val="center"/>
          </w:tcPr>
          <w:p>
            <w:pPr>
              <w:spacing w:line="286" w:lineRule="auto"/>
              <w:rPr>
                <w:szCs w:val="21"/>
              </w:rPr>
            </w:pPr>
            <w:r>
              <w:rPr>
                <w:szCs w:val="21"/>
              </w:rPr>
              <w:t>临床流行病学</w:t>
            </w:r>
          </w:p>
        </w:tc>
        <w:tc>
          <w:tcPr>
            <w:tcW w:w="574"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rPr>
            </w:pPr>
            <w:r>
              <w:rPr>
                <w:szCs w:val="21"/>
              </w:rPr>
              <w:t>2</w:t>
            </w:r>
          </w:p>
        </w:tc>
        <w:tc>
          <w:tcPr>
            <w:tcW w:w="723" w:type="dxa"/>
            <w:vMerge w:val="continue"/>
            <w:tcBorders>
              <w:left w:val="single" w:color="auto" w:sz="4" w:space="0"/>
              <w:right w:val="single" w:color="auto" w:sz="4" w:space="0"/>
            </w:tcBorders>
            <w:vAlign w:val="center"/>
          </w:tcPr>
          <w:p>
            <w:pPr>
              <w:spacing w:line="28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dxa"/>
            <w:vMerge w:val="continue"/>
            <w:tcBorders>
              <w:left w:val="single" w:color="auto" w:sz="4" w:space="0"/>
              <w:right w:val="single" w:color="auto" w:sz="4" w:space="0"/>
            </w:tcBorders>
            <w:vAlign w:val="center"/>
          </w:tcPr>
          <w:p>
            <w:pPr>
              <w:spacing w:line="286" w:lineRule="auto"/>
              <w:jc w:val="center"/>
              <w:rPr>
                <w:szCs w:val="21"/>
              </w:rPr>
            </w:pPr>
          </w:p>
        </w:tc>
        <w:tc>
          <w:tcPr>
            <w:tcW w:w="1063" w:type="dxa"/>
            <w:vMerge w:val="restart"/>
            <w:tcBorders>
              <w:top w:val="single" w:color="auto" w:sz="4" w:space="0"/>
              <w:left w:val="single" w:color="auto" w:sz="4" w:space="0"/>
              <w:right w:val="single" w:color="auto" w:sz="4" w:space="0"/>
            </w:tcBorders>
            <w:vAlign w:val="center"/>
          </w:tcPr>
          <w:p>
            <w:pPr>
              <w:spacing w:line="286" w:lineRule="auto"/>
              <w:jc w:val="center"/>
              <w:rPr>
                <w:szCs w:val="21"/>
              </w:rPr>
            </w:pPr>
          </w:p>
          <w:p>
            <w:pPr>
              <w:spacing w:line="286" w:lineRule="auto"/>
              <w:jc w:val="center"/>
              <w:rPr>
                <w:szCs w:val="21"/>
              </w:rPr>
            </w:pPr>
            <w:r>
              <w:rPr>
                <w:szCs w:val="21"/>
              </w:rPr>
              <w:t>专业</w:t>
            </w:r>
          </w:p>
          <w:p>
            <w:pPr>
              <w:spacing w:line="286" w:lineRule="auto"/>
              <w:jc w:val="center"/>
              <w:rPr>
                <w:szCs w:val="21"/>
              </w:rPr>
            </w:pPr>
            <w:r>
              <w:rPr>
                <w:szCs w:val="21"/>
              </w:rPr>
              <w:t>基础课</w:t>
            </w:r>
          </w:p>
          <w:p>
            <w:pPr>
              <w:spacing w:line="286" w:lineRule="auto"/>
              <w:rPr>
                <w:szCs w:val="21"/>
              </w:rPr>
            </w:pPr>
          </w:p>
        </w:tc>
        <w:tc>
          <w:tcPr>
            <w:tcW w:w="1171"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rPr>
            </w:pPr>
            <w:r>
              <w:rPr>
                <w:rFonts w:hint="eastAsia"/>
                <w:szCs w:val="21"/>
              </w:rPr>
              <w:t>152196</w:t>
            </w:r>
          </w:p>
        </w:tc>
        <w:tc>
          <w:tcPr>
            <w:tcW w:w="1295"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rFonts w:ascii="宋体" w:hAnsi="宋体"/>
                <w:szCs w:val="21"/>
              </w:rPr>
            </w:pPr>
            <w:r>
              <w:rPr>
                <w:rFonts w:ascii="宋体" w:hAnsi="宋体"/>
                <w:szCs w:val="21"/>
              </w:rPr>
              <w:t>NURS610515</w:t>
            </w:r>
          </w:p>
        </w:tc>
        <w:tc>
          <w:tcPr>
            <w:tcW w:w="2614" w:type="dxa"/>
            <w:tcBorders>
              <w:top w:val="single" w:color="auto" w:sz="4" w:space="0"/>
              <w:left w:val="single" w:color="auto" w:sz="4" w:space="0"/>
              <w:bottom w:val="single" w:color="auto" w:sz="4" w:space="0"/>
              <w:right w:val="single" w:color="auto" w:sz="4" w:space="0"/>
            </w:tcBorders>
            <w:vAlign w:val="center"/>
          </w:tcPr>
          <w:p>
            <w:pPr>
              <w:spacing w:line="286" w:lineRule="auto"/>
              <w:rPr>
                <w:szCs w:val="21"/>
              </w:rPr>
            </w:pPr>
            <w:r>
              <w:rPr>
                <w:szCs w:val="21"/>
              </w:rPr>
              <w:t>护理学研究方法</w:t>
            </w:r>
          </w:p>
        </w:tc>
        <w:tc>
          <w:tcPr>
            <w:tcW w:w="574"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rPr>
            </w:pPr>
            <w:r>
              <w:rPr>
                <w:szCs w:val="21"/>
              </w:rPr>
              <w:t>2</w:t>
            </w:r>
          </w:p>
        </w:tc>
        <w:tc>
          <w:tcPr>
            <w:tcW w:w="723" w:type="dxa"/>
            <w:vMerge w:val="restart"/>
            <w:tcBorders>
              <w:top w:val="single" w:color="auto" w:sz="4" w:space="0"/>
              <w:left w:val="single" w:color="auto" w:sz="4" w:space="0"/>
              <w:right w:val="single" w:color="auto" w:sz="4" w:space="0"/>
            </w:tcBorders>
            <w:vAlign w:val="center"/>
          </w:tcPr>
          <w:p>
            <w:pPr>
              <w:spacing w:line="286" w:lineRule="auto"/>
              <w:jc w:val="center"/>
              <w:rPr>
                <w:szCs w:val="21"/>
              </w:rPr>
            </w:pPr>
            <w:r>
              <w:rPr>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dxa"/>
            <w:vMerge w:val="continue"/>
            <w:tcBorders>
              <w:left w:val="single" w:color="auto" w:sz="4" w:space="0"/>
              <w:right w:val="single" w:color="auto" w:sz="4" w:space="0"/>
            </w:tcBorders>
            <w:vAlign w:val="center"/>
          </w:tcPr>
          <w:p>
            <w:pPr>
              <w:spacing w:line="286" w:lineRule="auto"/>
              <w:jc w:val="center"/>
              <w:rPr>
                <w:szCs w:val="21"/>
              </w:rPr>
            </w:pPr>
          </w:p>
        </w:tc>
        <w:tc>
          <w:tcPr>
            <w:tcW w:w="1063" w:type="dxa"/>
            <w:vMerge w:val="continue"/>
            <w:tcBorders>
              <w:left w:val="single" w:color="auto" w:sz="4" w:space="0"/>
              <w:right w:val="single" w:color="auto" w:sz="4" w:space="0"/>
            </w:tcBorders>
            <w:vAlign w:val="center"/>
          </w:tcPr>
          <w:p>
            <w:pPr>
              <w:spacing w:line="286" w:lineRule="auto"/>
              <w:jc w:val="center"/>
              <w:rPr>
                <w:szCs w:val="21"/>
              </w:rPr>
            </w:pPr>
          </w:p>
        </w:tc>
        <w:tc>
          <w:tcPr>
            <w:tcW w:w="1171"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rPr>
            </w:pPr>
            <w:r>
              <w:rPr>
                <w:rFonts w:hint="eastAsia"/>
                <w:szCs w:val="21"/>
              </w:rPr>
              <w:t>152181</w:t>
            </w:r>
          </w:p>
        </w:tc>
        <w:tc>
          <w:tcPr>
            <w:tcW w:w="1295"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rFonts w:ascii="宋体" w:hAnsi="宋体"/>
                <w:szCs w:val="21"/>
              </w:rPr>
            </w:pPr>
            <w:r>
              <w:rPr>
                <w:rFonts w:ascii="宋体" w:hAnsi="宋体"/>
                <w:szCs w:val="21"/>
              </w:rPr>
              <w:t>NURS650115</w:t>
            </w:r>
          </w:p>
        </w:tc>
        <w:tc>
          <w:tcPr>
            <w:tcW w:w="2614" w:type="dxa"/>
            <w:tcBorders>
              <w:top w:val="single" w:color="auto" w:sz="4" w:space="0"/>
              <w:left w:val="single" w:color="auto" w:sz="4" w:space="0"/>
              <w:bottom w:val="single" w:color="auto" w:sz="4" w:space="0"/>
              <w:right w:val="single" w:color="auto" w:sz="4" w:space="0"/>
            </w:tcBorders>
            <w:vAlign w:val="center"/>
          </w:tcPr>
          <w:p>
            <w:pPr>
              <w:spacing w:line="286" w:lineRule="auto"/>
              <w:rPr>
                <w:szCs w:val="21"/>
              </w:rPr>
            </w:pPr>
            <w:r>
              <w:rPr>
                <w:szCs w:val="21"/>
              </w:rPr>
              <w:t>药物治疗学</w:t>
            </w:r>
          </w:p>
        </w:tc>
        <w:tc>
          <w:tcPr>
            <w:tcW w:w="574"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rPr>
            </w:pPr>
            <w:r>
              <w:rPr>
                <w:szCs w:val="21"/>
              </w:rPr>
              <w:t>2</w:t>
            </w:r>
          </w:p>
        </w:tc>
        <w:tc>
          <w:tcPr>
            <w:tcW w:w="723" w:type="dxa"/>
            <w:vMerge w:val="continue"/>
            <w:tcBorders>
              <w:left w:val="single" w:color="auto" w:sz="4" w:space="0"/>
              <w:right w:val="single" w:color="auto" w:sz="4" w:space="0"/>
            </w:tcBorders>
            <w:vAlign w:val="center"/>
          </w:tcPr>
          <w:p>
            <w:pPr>
              <w:spacing w:line="28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dxa"/>
            <w:vMerge w:val="continue"/>
            <w:tcBorders>
              <w:left w:val="single" w:color="auto" w:sz="4" w:space="0"/>
              <w:right w:val="single" w:color="auto" w:sz="4" w:space="0"/>
            </w:tcBorders>
            <w:vAlign w:val="center"/>
          </w:tcPr>
          <w:p>
            <w:pPr>
              <w:spacing w:line="286" w:lineRule="auto"/>
              <w:jc w:val="center"/>
              <w:rPr>
                <w:szCs w:val="21"/>
              </w:rPr>
            </w:pPr>
          </w:p>
        </w:tc>
        <w:tc>
          <w:tcPr>
            <w:tcW w:w="1063" w:type="dxa"/>
            <w:vMerge w:val="continue"/>
            <w:tcBorders>
              <w:left w:val="single" w:color="auto" w:sz="4" w:space="0"/>
              <w:right w:val="single" w:color="auto" w:sz="4" w:space="0"/>
            </w:tcBorders>
            <w:vAlign w:val="center"/>
          </w:tcPr>
          <w:p>
            <w:pPr>
              <w:spacing w:line="286" w:lineRule="auto"/>
              <w:jc w:val="center"/>
              <w:rPr>
                <w:szCs w:val="21"/>
              </w:rPr>
            </w:pPr>
          </w:p>
        </w:tc>
        <w:tc>
          <w:tcPr>
            <w:tcW w:w="1171"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rPr>
            </w:pPr>
            <w:r>
              <w:rPr>
                <w:rFonts w:hint="eastAsia"/>
                <w:szCs w:val="21"/>
              </w:rPr>
              <w:t>152182</w:t>
            </w:r>
          </w:p>
        </w:tc>
        <w:tc>
          <w:tcPr>
            <w:tcW w:w="1295"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rFonts w:ascii="宋体" w:hAnsi="宋体"/>
                <w:szCs w:val="21"/>
              </w:rPr>
            </w:pPr>
            <w:r>
              <w:rPr>
                <w:rFonts w:ascii="宋体" w:hAnsi="宋体"/>
                <w:szCs w:val="21"/>
              </w:rPr>
              <w:t>NURS650215</w:t>
            </w:r>
          </w:p>
        </w:tc>
        <w:tc>
          <w:tcPr>
            <w:tcW w:w="2614" w:type="dxa"/>
            <w:tcBorders>
              <w:top w:val="single" w:color="auto" w:sz="4" w:space="0"/>
              <w:left w:val="single" w:color="auto" w:sz="4" w:space="0"/>
              <w:bottom w:val="single" w:color="auto" w:sz="4" w:space="0"/>
              <w:right w:val="single" w:color="auto" w:sz="4" w:space="0"/>
            </w:tcBorders>
            <w:vAlign w:val="center"/>
          </w:tcPr>
          <w:p>
            <w:pPr>
              <w:spacing w:line="286" w:lineRule="auto"/>
              <w:rPr>
                <w:szCs w:val="21"/>
              </w:rPr>
            </w:pPr>
            <w:r>
              <w:rPr>
                <w:szCs w:val="21"/>
              </w:rPr>
              <w:t>循证护理学</w:t>
            </w:r>
          </w:p>
        </w:tc>
        <w:tc>
          <w:tcPr>
            <w:tcW w:w="574"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rPr>
            </w:pPr>
            <w:r>
              <w:rPr>
                <w:szCs w:val="21"/>
              </w:rPr>
              <w:t>2</w:t>
            </w:r>
          </w:p>
        </w:tc>
        <w:tc>
          <w:tcPr>
            <w:tcW w:w="723" w:type="dxa"/>
            <w:vMerge w:val="continue"/>
            <w:tcBorders>
              <w:left w:val="single" w:color="auto" w:sz="4" w:space="0"/>
              <w:right w:val="single" w:color="auto" w:sz="4" w:space="0"/>
            </w:tcBorders>
            <w:vAlign w:val="center"/>
          </w:tcPr>
          <w:p>
            <w:pPr>
              <w:spacing w:line="28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dxa"/>
            <w:vMerge w:val="continue"/>
            <w:tcBorders>
              <w:left w:val="single" w:color="auto" w:sz="4" w:space="0"/>
              <w:right w:val="single" w:color="auto" w:sz="4" w:space="0"/>
            </w:tcBorders>
            <w:vAlign w:val="center"/>
          </w:tcPr>
          <w:p>
            <w:pPr>
              <w:spacing w:line="286" w:lineRule="auto"/>
              <w:jc w:val="center"/>
              <w:rPr>
                <w:szCs w:val="21"/>
              </w:rPr>
            </w:pPr>
          </w:p>
        </w:tc>
        <w:tc>
          <w:tcPr>
            <w:tcW w:w="1063" w:type="dxa"/>
            <w:vMerge w:val="continue"/>
            <w:tcBorders>
              <w:left w:val="single" w:color="auto" w:sz="4" w:space="0"/>
              <w:right w:val="single" w:color="auto" w:sz="4" w:space="0"/>
            </w:tcBorders>
            <w:vAlign w:val="center"/>
          </w:tcPr>
          <w:p>
            <w:pPr>
              <w:spacing w:line="286" w:lineRule="auto"/>
              <w:jc w:val="center"/>
              <w:rPr>
                <w:szCs w:val="21"/>
              </w:rPr>
            </w:pPr>
          </w:p>
        </w:tc>
        <w:tc>
          <w:tcPr>
            <w:tcW w:w="1171"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rPr>
            </w:pPr>
            <w:r>
              <w:rPr>
                <w:rFonts w:hint="eastAsia"/>
                <w:szCs w:val="21"/>
              </w:rPr>
              <w:t>152186</w:t>
            </w:r>
          </w:p>
        </w:tc>
        <w:tc>
          <w:tcPr>
            <w:tcW w:w="1295"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rFonts w:ascii="宋体" w:hAnsi="宋体"/>
                <w:szCs w:val="21"/>
              </w:rPr>
            </w:pPr>
            <w:r>
              <w:rPr>
                <w:rFonts w:ascii="宋体" w:hAnsi="宋体"/>
                <w:szCs w:val="21"/>
              </w:rPr>
              <w:t>BASM612315</w:t>
            </w:r>
          </w:p>
        </w:tc>
        <w:tc>
          <w:tcPr>
            <w:tcW w:w="2614" w:type="dxa"/>
            <w:tcBorders>
              <w:top w:val="single" w:color="auto" w:sz="4" w:space="0"/>
              <w:left w:val="single" w:color="auto" w:sz="4" w:space="0"/>
              <w:bottom w:val="single" w:color="auto" w:sz="4" w:space="0"/>
              <w:right w:val="single" w:color="auto" w:sz="4" w:space="0"/>
            </w:tcBorders>
          </w:tcPr>
          <w:p>
            <w:pPr>
              <w:spacing w:line="286" w:lineRule="auto"/>
              <w:rPr>
                <w:szCs w:val="21"/>
              </w:rPr>
            </w:pPr>
            <w:r>
              <w:rPr>
                <w:rFonts w:hint="eastAsia"/>
                <w:szCs w:val="21"/>
              </w:rPr>
              <w:t>高级</w:t>
            </w:r>
            <w:r>
              <w:rPr>
                <w:szCs w:val="21"/>
              </w:rPr>
              <w:t>病理生理学</w:t>
            </w:r>
          </w:p>
        </w:tc>
        <w:tc>
          <w:tcPr>
            <w:tcW w:w="574" w:type="dxa"/>
            <w:tcBorders>
              <w:top w:val="single" w:color="auto" w:sz="4" w:space="0"/>
              <w:left w:val="single" w:color="auto" w:sz="4" w:space="0"/>
              <w:bottom w:val="single" w:color="auto" w:sz="4" w:space="0"/>
              <w:right w:val="single" w:color="auto" w:sz="4" w:space="0"/>
            </w:tcBorders>
          </w:tcPr>
          <w:p>
            <w:pPr>
              <w:spacing w:line="286" w:lineRule="auto"/>
              <w:jc w:val="center"/>
              <w:rPr>
                <w:szCs w:val="21"/>
              </w:rPr>
            </w:pPr>
            <w:r>
              <w:rPr>
                <w:szCs w:val="21"/>
              </w:rPr>
              <w:t>2</w:t>
            </w:r>
          </w:p>
        </w:tc>
        <w:tc>
          <w:tcPr>
            <w:tcW w:w="723" w:type="dxa"/>
            <w:vMerge w:val="continue"/>
            <w:tcBorders>
              <w:left w:val="single" w:color="auto" w:sz="4" w:space="0"/>
              <w:right w:val="single" w:color="auto" w:sz="4" w:space="0"/>
            </w:tcBorders>
            <w:vAlign w:val="center"/>
          </w:tcPr>
          <w:p>
            <w:pPr>
              <w:spacing w:line="28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dxa"/>
            <w:vMerge w:val="continue"/>
            <w:tcBorders>
              <w:left w:val="single" w:color="auto" w:sz="4" w:space="0"/>
              <w:right w:val="single" w:color="auto" w:sz="4" w:space="0"/>
            </w:tcBorders>
            <w:vAlign w:val="center"/>
          </w:tcPr>
          <w:p>
            <w:pPr>
              <w:spacing w:line="286" w:lineRule="auto"/>
              <w:jc w:val="center"/>
              <w:rPr>
                <w:szCs w:val="21"/>
              </w:rPr>
            </w:pPr>
          </w:p>
        </w:tc>
        <w:tc>
          <w:tcPr>
            <w:tcW w:w="1063" w:type="dxa"/>
            <w:vMerge w:val="continue"/>
            <w:tcBorders>
              <w:left w:val="single" w:color="auto" w:sz="4" w:space="0"/>
              <w:right w:val="single" w:color="auto" w:sz="4" w:space="0"/>
            </w:tcBorders>
            <w:vAlign w:val="center"/>
          </w:tcPr>
          <w:p>
            <w:pPr>
              <w:spacing w:line="286" w:lineRule="auto"/>
              <w:jc w:val="center"/>
              <w:rPr>
                <w:szCs w:val="21"/>
              </w:rPr>
            </w:pPr>
          </w:p>
        </w:tc>
        <w:tc>
          <w:tcPr>
            <w:tcW w:w="1171"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rPr>
            </w:pPr>
            <w:r>
              <w:rPr>
                <w:rFonts w:hint="eastAsia"/>
                <w:szCs w:val="21"/>
              </w:rPr>
              <w:t>152187</w:t>
            </w:r>
          </w:p>
        </w:tc>
        <w:tc>
          <w:tcPr>
            <w:tcW w:w="1295"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rFonts w:ascii="宋体" w:hAnsi="宋体"/>
                <w:szCs w:val="21"/>
              </w:rPr>
            </w:pPr>
            <w:r>
              <w:rPr>
                <w:rFonts w:ascii="宋体" w:hAnsi="宋体"/>
                <w:szCs w:val="21"/>
              </w:rPr>
              <w:t>NURS650315</w:t>
            </w:r>
          </w:p>
        </w:tc>
        <w:tc>
          <w:tcPr>
            <w:tcW w:w="2614" w:type="dxa"/>
            <w:tcBorders>
              <w:top w:val="single" w:color="auto" w:sz="4" w:space="0"/>
              <w:left w:val="single" w:color="auto" w:sz="4" w:space="0"/>
              <w:bottom w:val="single" w:color="auto" w:sz="4" w:space="0"/>
              <w:right w:val="single" w:color="auto" w:sz="4" w:space="0"/>
            </w:tcBorders>
          </w:tcPr>
          <w:p>
            <w:pPr>
              <w:spacing w:line="286" w:lineRule="auto"/>
              <w:rPr>
                <w:szCs w:val="21"/>
              </w:rPr>
            </w:pPr>
            <w:r>
              <w:rPr>
                <w:szCs w:val="21"/>
              </w:rPr>
              <w:t>高级健康评估</w:t>
            </w:r>
          </w:p>
        </w:tc>
        <w:tc>
          <w:tcPr>
            <w:tcW w:w="574" w:type="dxa"/>
            <w:tcBorders>
              <w:top w:val="single" w:color="auto" w:sz="4" w:space="0"/>
              <w:left w:val="single" w:color="auto" w:sz="4" w:space="0"/>
              <w:bottom w:val="single" w:color="auto" w:sz="4" w:space="0"/>
              <w:right w:val="single" w:color="auto" w:sz="4" w:space="0"/>
            </w:tcBorders>
          </w:tcPr>
          <w:p>
            <w:pPr>
              <w:spacing w:line="286" w:lineRule="auto"/>
              <w:jc w:val="center"/>
              <w:rPr>
                <w:szCs w:val="21"/>
              </w:rPr>
            </w:pPr>
            <w:r>
              <w:rPr>
                <w:szCs w:val="21"/>
              </w:rPr>
              <w:t>2</w:t>
            </w:r>
          </w:p>
        </w:tc>
        <w:tc>
          <w:tcPr>
            <w:tcW w:w="723" w:type="dxa"/>
            <w:vMerge w:val="continue"/>
            <w:tcBorders>
              <w:left w:val="single" w:color="auto" w:sz="4" w:space="0"/>
              <w:right w:val="single" w:color="auto" w:sz="4" w:space="0"/>
            </w:tcBorders>
            <w:vAlign w:val="center"/>
          </w:tcPr>
          <w:p>
            <w:pPr>
              <w:spacing w:line="28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dxa"/>
            <w:vMerge w:val="continue"/>
            <w:tcBorders>
              <w:left w:val="single" w:color="auto" w:sz="4" w:space="0"/>
              <w:right w:val="single" w:color="auto" w:sz="4" w:space="0"/>
            </w:tcBorders>
            <w:vAlign w:val="center"/>
          </w:tcPr>
          <w:p>
            <w:pPr>
              <w:spacing w:line="286" w:lineRule="auto"/>
              <w:jc w:val="center"/>
              <w:rPr>
                <w:szCs w:val="21"/>
              </w:rPr>
            </w:pPr>
          </w:p>
        </w:tc>
        <w:tc>
          <w:tcPr>
            <w:tcW w:w="1063" w:type="dxa"/>
            <w:vMerge w:val="restart"/>
            <w:tcBorders>
              <w:left w:val="single" w:color="auto" w:sz="4" w:space="0"/>
              <w:right w:val="single" w:color="auto" w:sz="4" w:space="0"/>
            </w:tcBorders>
            <w:vAlign w:val="center"/>
          </w:tcPr>
          <w:p>
            <w:pPr>
              <w:spacing w:line="286" w:lineRule="auto"/>
              <w:jc w:val="center"/>
              <w:rPr>
                <w:szCs w:val="21"/>
              </w:rPr>
            </w:pPr>
            <w:r>
              <w:rPr>
                <w:szCs w:val="21"/>
              </w:rPr>
              <w:t>专业</w:t>
            </w:r>
          </w:p>
          <w:p>
            <w:pPr>
              <w:spacing w:line="286" w:lineRule="auto"/>
              <w:jc w:val="center"/>
              <w:rPr>
                <w:szCs w:val="21"/>
              </w:rPr>
            </w:pPr>
            <w:r>
              <w:rPr>
                <w:szCs w:val="21"/>
              </w:rPr>
              <w:t>必修课</w:t>
            </w:r>
          </w:p>
        </w:tc>
        <w:tc>
          <w:tcPr>
            <w:tcW w:w="1171"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rPr>
            </w:pPr>
            <w:r>
              <w:rPr>
                <w:rFonts w:hint="eastAsia"/>
                <w:szCs w:val="21"/>
              </w:rPr>
              <w:t>152079</w:t>
            </w:r>
          </w:p>
        </w:tc>
        <w:tc>
          <w:tcPr>
            <w:tcW w:w="1295"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rFonts w:ascii="宋体" w:hAnsi="宋体"/>
                <w:szCs w:val="21"/>
              </w:rPr>
            </w:pPr>
            <w:r>
              <w:rPr>
                <w:rFonts w:ascii="宋体" w:hAnsi="宋体"/>
                <w:szCs w:val="21"/>
              </w:rPr>
              <w:t>ENGL712015</w:t>
            </w:r>
          </w:p>
        </w:tc>
        <w:tc>
          <w:tcPr>
            <w:tcW w:w="2614" w:type="dxa"/>
            <w:tcBorders>
              <w:top w:val="single" w:color="auto" w:sz="4" w:space="0"/>
              <w:left w:val="single" w:color="auto" w:sz="4" w:space="0"/>
              <w:bottom w:val="single" w:color="auto" w:sz="4" w:space="0"/>
              <w:right w:val="single" w:color="auto" w:sz="4" w:space="0"/>
            </w:tcBorders>
            <w:vAlign w:val="center"/>
          </w:tcPr>
          <w:p>
            <w:pPr>
              <w:spacing w:line="286" w:lineRule="auto"/>
              <w:rPr>
                <w:szCs w:val="21"/>
              </w:rPr>
            </w:pPr>
            <w:r>
              <w:rPr>
                <w:szCs w:val="21"/>
              </w:rPr>
              <w:t>医学专业英语（2）</w:t>
            </w:r>
          </w:p>
        </w:tc>
        <w:tc>
          <w:tcPr>
            <w:tcW w:w="574"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rPr>
            </w:pPr>
            <w:r>
              <w:rPr>
                <w:szCs w:val="21"/>
              </w:rPr>
              <w:t>1</w:t>
            </w:r>
          </w:p>
        </w:tc>
        <w:tc>
          <w:tcPr>
            <w:tcW w:w="723" w:type="dxa"/>
            <w:vMerge w:val="restart"/>
            <w:tcBorders>
              <w:left w:val="single" w:color="auto" w:sz="4" w:space="0"/>
              <w:right w:val="single" w:color="auto" w:sz="4" w:space="0"/>
            </w:tcBorders>
            <w:vAlign w:val="center"/>
          </w:tcPr>
          <w:p>
            <w:pPr>
              <w:spacing w:line="286" w:lineRule="auto"/>
              <w:jc w:val="center"/>
              <w:rPr>
                <w:szCs w:val="21"/>
              </w:rPr>
            </w:pP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dxa"/>
            <w:vMerge w:val="continue"/>
            <w:tcBorders>
              <w:left w:val="single" w:color="auto" w:sz="4" w:space="0"/>
              <w:right w:val="single" w:color="auto" w:sz="4" w:space="0"/>
            </w:tcBorders>
            <w:vAlign w:val="center"/>
          </w:tcPr>
          <w:p>
            <w:pPr>
              <w:spacing w:line="286" w:lineRule="auto"/>
              <w:jc w:val="center"/>
              <w:rPr>
                <w:szCs w:val="21"/>
              </w:rPr>
            </w:pPr>
          </w:p>
        </w:tc>
        <w:tc>
          <w:tcPr>
            <w:tcW w:w="1063" w:type="dxa"/>
            <w:vMerge w:val="continue"/>
            <w:tcBorders>
              <w:left w:val="single" w:color="auto" w:sz="4" w:space="0"/>
              <w:right w:val="single" w:color="auto" w:sz="4" w:space="0"/>
            </w:tcBorders>
            <w:vAlign w:val="center"/>
          </w:tcPr>
          <w:p>
            <w:pPr>
              <w:spacing w:line="286" w:lineRule="auto"/>
              <w:jc w:val="center"/>
              <w:rPr>
                <w:szCs w:val="21"/>
              </w:rPr>
            </w:pPr>
          </w:p>
        </w:tc>
        <w:tc>
          <w:tcPr>
            <w:tcW w:w="1171"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rPr>
            </w:pPr>
            <w:r>
              <w:rPr>
                <w:rFonts w:hint="eastAsia"/>
                <w:szCs w:val="21"/>
              </w:rPr>
              <w:t>152107</w:t>
            </w:r>
          </w:p>
        </w:tc>
        <w:tc>
          <w:tcPr>
            <w:tcW w:w="1295"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rFonts w:ascii="宋体" w:hAnsi="宋体"/>
                <w:szCs w:val="21"/>
              </w:rPr>
            </w:pPr>
            <w:r>
              <w:rPr>
                <w:rFonts w:ascii="宋体" w:hAnsi="宋体"/>
                <w:szCs w:val="21"/>
              </w:rPr>
              <w:t>NURS710115</w:t>
            </w:r>
          </w:p>
        </w:tc>
        <w:tc>
          <w:tcPr>
            <w:tcW w:w="2614" w:type="dxa"/>
            <w:tcBorders>
              <w:top w:val="single" w:color="auto" w:sz="4" w:space="0"/>
              <w:left w:val="single" w:color="auto" w:sz="4" w:space="0"/>
              <w:bottom w:val="single" w:color="auto" w:sz="4" w:space="0"/>
              <w:right w:val="single" w:color="auto" w:sz="4" w:space="0"/>
            </w:tcBorders>
            <w:vAlign w:val="center"/>
          </w:tcPr>
          <w:p>
            <w:pPr>
              <w:spacing w:line="286" w:lineRule="auto"/>
              <w:rPr>
                <w:szCs w:val="21"/>
              </w:rPr>
            </w:pPr>
            <w:r>
              <w:rPr>
                <w:szCs w:val="21"/>
              </w:rPr>
              <w:t>护理学（2）</w:t>
            </w:r>
          </w:p>
        </w:tc>
        <w:tc>
          <w:tcPr>
            <w:tcW w:w="574"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rPr>
            </w:pPr>
            <w:r>
              <w:rPr>
                <w:szCs w:val="21"/>
              </w:rPr>
              <w:t>2</w:t>
            </w:r>
          </w:p>
        </w:tc>
        <w:tc>
          <w:tcPr>
            <w:tcW w:w="723" w:type="dxa"/>
            <w:vMerge w:val="continue"/>
            <w:tcBorders>
              <w:left w:val="single" w:color="auto" w:sz="4" w:space="0"/>
              <w:right w:val="single" w:color="auto" w:sz="4" w:space="0"/>
            </w:tcBorders>
            <w:vAlign w:val="center"/>
          </w:tcPr>
          <w:p>
            <w:pPr>
              <w:spacing w:line="28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dxa"/>
            <w:vMerge w:val="continue"/>
            <w:tcBorders>
              <w:left w:val="single" w:color="auto" w:sz="4" w:space="0"/>
              <w:right w:val="single" w:color="auto" w:sz="4" w:space="0"/>
            </w:tcBorders>
            <w:vAlign w:val="center"/>
          </w:tcPr>
          <w:p>
            <w:pPr>
              <w:spacing w:line="286" w:lineRule="auto"/>
              <w:jc w:val="center"/>
              <w:rPr>
                <w:szCs w:val="21"/>
              </w:rPr>
            </w:pPr>
          </w:p>
        </w:tc>
        <w:tc>
          <w:tcPr>
            <w:tcW w:w="1063" w:type="dxa"/>
            <w:vMerge w:val="restart"/>
            <w:tcBorders>
              <w:left w:val="single" w:color="auto" w:sz="4" w:space="0"/>
              <w:right w:val="single" w:color="auto" w:sz="4" w:space="0"/>
            </w:tcBorders>
            <w:vAlign w:val="center"/>
          </w:tcPr>
          <w:p>
            <w:pPr>
              <w:spacing w:line="286" w:lineRule="auto"/>
              <w:jc w:val="center"/>
              <w:rPr>
                <w:szCs w:val="21"/>
              </w:rPr>
            </w:pPr>
            <w:r>
              <w:rPr>
                <w:szCs w:val="21"/>
              </w:rPr>
              <w:t>临床实践</w:t>
            </w:r>
          </w:p>
        </w:tc>
        <w:tc>
          <w:tcPr>
            <w:tcW w:w="1171"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rPr>
            </w:pPr>
            <w:r>
              <w:rPr>
                <w:rFonts w:hint="eastAsia"/>
                <w:szCs w:val="21"/>
              </w:rPr>
              <w:t>152080</w:t>
            </w:r>
          </w:p>
        </w:tc>
        <w:tc>
          <w:tcPr>
            <w:tcW w:w="1295"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rFonts w:ascii="宋体" w:hAnsi="宋体"/>
                <w:szCs w:val="21"/>
              </w:rPr>
            </w:pPr>
            <w:r>
              <w:rPr>
                <w:rFonts w:ascii="宋体" w:hAnsi="宋体"/>
                <w:szCs w:val="21"/>
              </w:rPr>
              <w:t>CLIM750115</w:t>
            </w:r>
          </w:p>
        </w:tc>
        <w:tc>
          <w:tcPr>
            <w:tcW w:w="2614" w:type="dxa"/>
            <w:tcBorders>
              <w:top w:val="single" w:color="auto" w:sz="4" w:space="0"/>
              <w:left w:val="single" w:color="auto" w:sz="4" w:space="0"/>
              <w:bottom w:val="single" w:color="auto" w:sz="4" w:space="0"/>
              <w:right w:val="single" w:color="auto" w:sz="4" w:space="0"/>
            </w:tcBorders>
            <w:vAlign w:val="center"/>
          </w:tcPr>
          <w:p>
            <w:pPr>
              <w:spacing w:line="286" w:lineRule="auto"/>
              <w:rPr>
                <w:szCs w:val="21"/>
              </w:rPr>
            </w:pPr>
            <w:r>
              <w:rPr>
                <w:szCs w:val="21"/>
              </w:rPr>
              <w:t>临床技能（2）</w:t>
            </w:r>
          </w:p>
        </w:tc>
        <w:tc>
          <w:tcPr>
            <w:tcW w:w="574"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rPr>
            </w:pPr>
            <w:r>
              <w:rPr>
                <w:szCs w:val="21"/>
              </w:rPr>
              <w:t>10</w:t>
            </w:r>
          </w:p>
        </w:tc>
        <w:tc>
          <w:tcPr>
            <w:tcW w:w="723" w:type="dxa"/>
            <w:vMerge w:val="restart"/>
            <w:tcBorders>
              <w:left w:val="single" w:color="auto" w:sz="4" w:space="0"/>
              <w:right w:val="single" w:color="auto" w:sz="4" w:space="0"/>
            </w:tcBorders>
            <w:vAlign w:val="center"/>
          </w:tcPr>
          <w:p>
            <w:pPr>
              <w:spacing w:line="286" w:lineRule="auto"/>
              <w:jc w:val="center"/>
              <w:rPr>
                <w:szCs w:val="21"/>
              </w:rPr>
            </w:pPr>
            <w:r>
              <w:rPr>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dxa"/>
            <w:vMerge w:val="continue"/>
            <w:tcBorders>
              <w:left w:val="single" w:color="auto" w:sz="4" w:space="0"/>
              <w:right w:val="single" w:color="auto" w:sz="4" w:space="0"/>
            </w:tcBorders>
            <w:vAlign w:val="center"/>
          </w:tcPr>
          <w:p>
            <w:pPr>
              <w:spacing w:line="286" w:lineRule="auto"/>
              <w:jc w:val="center"/>
              <w:rPr>
                <w:szCs w:val="21"/>
              </w:rPr>
            </w:pPr>
          </w:p>
        </w:tc>
        <w:tc>
          <w:tcPr>
            <w:tcW w:w="1063" w:type="dxa"/>
            <w:vMerge w:val="continue"/>
            <w:tcBorders>
              <w:left w:val="single" w:color="auto" w:sz="4" w:space="0"/>
              <w:right w:val="single" w:color="auto" w:sz="4" w:space="0"/>
            </w:tcBorders>
            <w:vAlign w:val="center"/>
          </w:tcPr>
          <w:p>
            <w:pPr>
              <w:spacing w:line="286" w:lineRule="auto"/>
              <w:jc w:val="center"/>
              <w:rPr>
                <w:szCs w:val="21"/>
              </w:rPr>
            </w:pPr>
          </w:p>
        </w:tc>
        <w:tc>
          <w:tcPr>
            <w:tcW w:w="1171"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rPr>
            </w:pPr>
            <w:r>
              <w:rPr>
                <w:rFonts w:hint="eastAsia"/>
                <w:szCs w:val="21"/>
              </w:rPr>
              <w:t>152081</w:t>
            </w:r>
          </w:p>
        </w:tc>
        <w:tc>
          <w:tcPr>
            <w:tcW w:w="1295"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rFonts w:ascii="宋体" w:hAnsi="宋体"/>
                <w:szCs w:val="21"/>
              </w:rPr>
            </w:pPr>
            <w:r>
              <w:rPr>
                <w:rFonts w:ascii="宋体" w:hAnsi="宋体"/>
                <w:szCs w:val="21"/>
              </w:rPr>
              <w:t>CLIM750215</w:t>
            </w:r>
          </w:p>
        </w:tc>
        <w:tc>
          <w:tcPr>
            <w:tcW w:w="2614" w:type="dxa"/>
            <w:tcBorders>
              <w:top w:val="single" w:color="auto" w:sz="4" w:space="0"/>
              <w:left w:val="single" w:color="auto" w:sz="4" w:space="0"/>
              <w:bottom w:val="single" w:color="auto" w:sz="4" w:space="0"/>
              <w:right w:val="single" w:color="auto" w:sz="4" w:space="0"/>
            </w:tcBorders>
            <w:vAlign w:val="center"/>
          </w:tcPr>
          <w:p>
            <w:pPr>
              <w:spacing w:line="286" w:lineRule="auto"/>
              <w:rPr>
                <w:szCs w:val="21"/>
              </w:rPr>
            </w:pPr>
            <w:r>
              <w:rPr>
                <w:szCs w:val="21"/>
              </w:rPr>
              <w:t>临床思维能力（2）</w:t>
            </w:r>
          </w:p>
        </w:tc>
        <w:tc>
          <w:tcPr>
            <w:tcW w:w="574"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rPr>
            </w:pPr>
            <w:r>
              <w:rPr>
                <w:szCs w:val="21"/>
              </w:rPr>
              <w:t>8</w:t>
            </w:r>
          </w:p>
        </w:tc>
        <w:tc>
          <w:tcPr>
            <w:tcW w:w="723" w:type="dxa"/>
            <w:vMerge w:val="continue"/>
            <w:tcBorders>
              <w:left w:val="single" w:color="auto" w:sz="4" w:space="0"/>
              <w:right w:val="single" w:color="auto" w:sz="4" w:space="0"/>
            </w:tcBorders>
            <w:vAlign w:val="center"/>
          </w:tcPr>
          <w:p>
            <w:pPr>
              <w:spacing w:line="28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dxa"/>
            <w:vMerge w:val="restart"/>
            <w:tcBorders>
              <w:top w:val="single" w:color="auto" w:sz="4" w:space="0"/>
              <w:left w:val="single" w:color="auto" w:sz="4" w:space="0"/>
              <w:right w:val="single" w:color="auto" w:sz="4" w:space="0"/>
            </w:tcBorders>
            <w:vAlign w:val="center"/>
          </w:tcPr>
          <w:p>
            <w:pPr>
              <w:spacing w:line="286" w:lineRule="auto"/>
              <w:jc w:val="center"/>
              <w:rPr>
                <w:szCs w:val="21"/>
              </w:rPr>
            </w:pPr>
            <w:r>
              <w:rPr>
                <w:szCs w:val="21"/>
              </w:rPr>
              <w:t>必修</w:t>
            </w:r>
          </w:p>
          <w:p>
            <w:pPr>
              <w:spacing w:line="286" w:lineRule="auto"/>
              <w:jc w:val="center"/>
              <w:rPr>
                <w:szCs w:val="21"/>
              </w:rPr>
            </w:pPr>
            <w:r>
              <w:rPr>
                <w:szCs w:val="21"/>
              </w:rPr>
              <w:t>环节</w:t>
            </w:r>
          </w:p>
        </w:tc>
        <w:tc>
          <w:tcPr>
            <w:tcW w:w="1063" w:type="dxa"/>
            <w:vMerge w:val="restart"/>
            <w:tcBorders>
              <w:top w:val="single" w:color="auto" w:sz="4" w:space="0"/>
              <w:left w:val="single" w:color="auto" w:sz="4" w:space="0"/>
              <w:right w:val="single" w:color="auto" w:sz="4" w:space="0"/>
            </w:tcBorders>
            <w:vAlign w:val="center"/>
          </w:tcPr>
          <w:p>
            <w:pPr>
              <w:spacing w:line="286" w:lineRule="auto"/>
              <w:jc w:val="center"/>
              <w:rPr>
                <w:szCs w:val="21"/>
              </w:rPr>
            </w:pPr>
            <w:r>
              <w:rPr>
                <w:szCs w:val="21"/>
              </w:rPr>
              <w:t>/</w:t>
            </w:r>
          </w:p>
        </w:tc>
        <w:tc>
          <w:tcPr>
            <w:tcW w:w="1171"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rPr>
            </w:pPr>
            <w:r>
              <w:rPr>
                <w:rFonts w:hint="eastAsia"/>
                <w:szCs w:val="21"/>
              </w:rPr>
              <w:t>001997</w:t>
            </w:r>
          </w:p>
        </w:tc>
        <w:tc>
          <w:tcPr>
            <w:tcW w:w="1295"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rFonts w:ascii="宋体" w:hAnsi="宋体"/>
                <w:szCs w:val="21"/>
              </w:rPr>
            </w:pPr>
            <w:r>
              <w:rPr>
                <w:rFonts w:ascii="宋体" w:hAnsi="宋体"/>
                <w:szCs w:val="21"/>
              </w:rPr>
              <w:t>BXHJ600399</w:t>
            </w:r>
          </w:p>
        </w:tc>
        <w:tc>
          <w:tcPr>
            <w:tcW w:w="2614" w:type="dxa"/>
            <w:tcBorders>
              <w:top w:val="single" w:color="auto" w:sz="4" w:space="0"/>
              <w:left w:val="single" w:color="auto" w:sz="4" w:space="0"/>
              <w:bottom w:val="single" w:color="auto" w:sz="4" w:space="0"/>
              <w:right w:val="single" w:color="auto" w:sz="4" w:space="0"/>
            </w:tcBorders>
            <w:vAlign w:val="center"/>
          </w:tcPr>
          <w:p>
            <w:pPr>
              <w:tabs>
                <w:tab w:val="left" w:pos="360"/>
              </w:tabs>
              <w:spacing w:line="286" w:lineRule="auto"/>
              <w:rPr>
                <w:szCs w:val="21"/>
              </w:rPr>
            </w:pPr>
            <w:r>
              <w:rPr>
                <w:szCs w:val="21"/>
              </w:rPr>
              <w:t>学术活动（讲座）硕</w:t>
            </w:r>
          </w:p>
        </w:tc>
        <w:tc>
          <w:tcPr>
            <w:tcW w:w="574" w:type="dxa"/>
            <w:tcBorders>
              <w:top w:val="single" w:color="auto" w:sz="4" w:space="0"/>
              <w:left w:val="single" w:color="auto" w:sz="4" w:space="0"/>
              <w:bottom w:val="single" w:color="auto" w:sz="4" w:space="0"/>
              <w:right w:val="single" w:color="auto" w:sz="4" w:space="0"/>
            </w:tcBorders>
            <w:vAlign w:val="center"/>
          </w:tcPr>
          <w:p>
            <w:pPr>
              <w:spacing w:line="286" w:lineRule="auto"/>
              <w:ind w:right="-42" w:rightChars="-20"/>
              <w:jc w:val="center"/>
              <w:rPr>
                <w:szCs w:val="21"/>
              </w:rPr>
            </w:pPr>
            <w:r>
              <w:rPr>
                <w:szCs w:val="21"/>
              </w:rPr>
              <w:t>1</w:t>
            </w:r>
          </w:p>
        </w:tc>
        <w:tc>
          <w:tcPr>
            <w:tcW w:w="723" w:type="dxa"/>
            <w:vMerge w:val="restart"/>
            <w:tcBorders>
              <w:top w:val="single" w:color="auto" w:sz="4" w:space="0"/>
              <w:left w:val="single" w:color="auto" w:sz="4" w:space="0"/>
              <w:right w:val="single" w:color="auto" w:sz="4" w:space="0"/>
            </w:tcBorders>
            <w:vAlign w:val="center"/>
          </w:tcPr>
          <w:p>
            <w:pPr>
              <w:spacing w:line="286" w:lineRule="auto"/>
              <w:jc w:val="center"/>
              <w:rPr>
                <w:szCs w:val="21"/>
              </w:rPr>
            </w:pPr>
            <w:r>
              <w:rPr>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dxa"/>
            <w:vMerge w:val="continue"/>
            <w:tcBorders>
              <w:left w:val="single" w:color="auto" w:sz="4" w:space="0"/>
              <w:right w:val="single" w:color="auto" w:sz="4" w:space="0"/>
            </w:tcBorders>
            <w:vAlign w:val="center"/>
          </w:tcPr>
          <w:p>
            <w:pPr>
              <w:spacing w:line="286" w:lineRule="auto"/>
              <w:jc w:val="center"/>
              <w:rPr>
                <w:szCs w:val="21"/>
              </w:rPr>
            </w:pPr>
          </w:p>
        </w:tc>
        <w:tc>
          <w:tcPr>
            <w:tcW w:w="1063" w:type="dxa"/>
            <w:vMerge w:val="continue"/>
            <w:tcBorders>
              <w:left w:val="single" w:color="auto" w:sz="4" w:space="0"/>
              <w:right w:val="single" w:color="auto" w:sz="4" w:space="0"/>
            </w:tcBorders>
            <w:vAlign w:val="center"/>
          </w:tcPr>
          <w:p>
            <w:pPr>
              <w:spacing w:line="286" w:lineRule="auto"/>
              <w:jc w:val="center"/>
              <w:rPr>
                <w:szCs w:val="21"/>
              </w:rPr>
            </w:pPr>
          </w:p>
        </w:tc>
        <w:tc>
          <w:tcPr>
            <w:tcW w:w="1171"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szCs w:val="21"/>
              </w:rPr>
            </w:pPr>
            <w:r>
              <w:rPr>
                <w:rFonts w:hint="eastAsia"/>
                <w:szCs w:val="21"/>
              </w:rPr>
              <w:t>001983</w:t>
            </w:r>
          </w:p>
        </w:tc>
        <w:tc>
          <w:tcPr>
            <w:tcW w:w="1295"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rFonts w:ascii="宋体" w:hAnsi="宋体"/>
                <w:szCs w:val="21"/>
              </w:rPr>
            </w:pPr>
            <w:r>
              <w:rPr>
                <w:rFonts w:ascii="宋体" w:hAnsi="宋体"/>
                <w:szCs w:val="21"/>
              </w:rPr>
              <w:t>BXHJ600799</w:t>
            </w:r>
          </w:p>
        </w:tc>
        <w:tc>
          <w:tcPr>
            <w:tcW w:w="2614" w:type="dxa"/>
            <w:tcBorders>
              <w:top w:val="single" w:color="auto" w:sz="4" w:space="0"/>
              <w:left w:val="single" w:color="auto" w:sz="4" w:space="0"/>
              <w:bottom w:val="single" w:color="auto" w:sz="4" w:space="0"/>
              <w:right w:val="single" w:color="auto" w:sz="4" w:space="0"/>
            </w:tcBorders>
            <w:vAlign w:val="center"/>
          </w:tcPr>
          <w:p>
            <w:pPr>
              <w:tabs>
                <w:tab w:val="left" w:pos="360"/>
              </w:tabs>
              <w:spacing w:line="286" w:lineRule="auto"/>
              <w:rPr>
                <w:szCs w:val="21"/>
              </w:rPr>
            </w:pPr>
            <w:r>
              <w:rPr>
                <w:szCs w:val="21"/>
              </w:rPr>
              <w:t>中期考核（硕）</w:t>
            </w:r>
          </w:p>
        </w:tc>
        <w:tc>
          <w:tcPr>
            <w:tcW w:w="574" w:type="dxa"/>
            <w:tcBorders>
              <w:top w:val="single" w:color="auto" w:sz="4" w:space="0"/>
              <w:left w:val="single" w:color="auto" w:sz="4" w:space="0"/>
              <w:bottom w:val="single" w:color="auto" w:sz="4" w:space="0"/>
              <w:right w:val="single" w:color="auto" w:sz="4" w:space="0"/>
            </w:tcBorders>
            <w:vAlign w:val="center"/>
          </w:tcPr>
          <w:p>
            <w:pPr>
              <w:spacing w:line="286" w:lineRule="auto"/>
              <w:ind w:right="-42" w:rightChars="-20"/>
              <w:jc w:val="center"/>
              <w:rPr>
                <w:szCs w:val="21"/>
              </w:rPr>
            </w:pPr>
            <w:r>
              <w:rPr>
                <w:szCs w:val="21"/>
              </w:rPr>
              <w:t>3</w:t>
            </w:r>
          </w:p>
        </w:tc>
        <w:tc>
          <w:tcPr>
            <w:tcW w:w="723" w:type="dxa"/>
            <w:vMerge w:val="continue"/>
            <w:tcBorders>
              <w:left w:val="single" w:color="auto" w:sz="4" w:space="0"/>
              <w:right w:val="single" w:color="auto" w:sz="4" w:space="0"/>
            </w:tcBorders>
            <w:vAlign w:val="center"/>
          </w:tcPr>
          <w:p>
            <w:pPr>
              <w:spacing w:line="28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dxa"/>
            <w:vMerge w:val="continue"/>
            <w:tcBorders>
              <w:left w:val="single" w:color="auto" w:sz="4" w:space="0"/>
              <w:right w:val="single" w:color="auto" w:sz="4" w:space="0"/>
            </w:tcBorders>
            <w:vAlign w:val="center"/>
          </w:tcPr>
          <w:p>
            <w:pPr>
              <w:spacing w:line="286" w:lineRule="auto"/>
              <w:jc w:val="center"/>
              <w:rPr>
                <w:szCs w:val="21"/>
              </w:rPr>
            </w:pPr>
          </w:p>
        </w:tc>
        <w:tc>
          <w:tcPr>
            <w:tcW w:w="1063" w:type="dxa"/>
            <w:vMerge w:val="continue"/>
            <w:tcBorders>
              <w:left w:val="single" w:color="auto" w:sz="4" w:space="0"/>
              <w:right w:val="single" w:color="auto" w:sz="4" w:space="0"/>
            </w:tcBorders>
            <w:vAlign w:val="center"/>
          </w:tcPr>
          <w:p>
            <w:pPr>
              <w:spacing w:line="286" w:lineRule="auto"/>
              <w:jc w:val="center"/>
              <w:rPr>
                <w:szCs w:val="21"/>
              </w:rPr>
            </w:pPr>
          </w:p>
        </w:tc>
        <w:tc>
          <w:tcPr>
            <w:tcW w:w="1171" w:type="dxa"/>
            <w:tcBorders>
              <w:top w:val="single" w:color="auto" w:sz="4" w:space="0"/>
              <w:left w:val="single" w:color="auto" w:sz="4" w:space="0"/>
              <w:bottom w:val="single" w:color="auto" w:sz="4" w:space="0"/>
              <w:right w:val="single" w:color="auto" w:sz="4" w:space="0"/>
            </w:tcBorders>
          </w:tcPr>
          <w:p>
            <w:pPr>
              <w:spacing w:line="286" w:lineRule="auto"/>
              <w:jc w:val="center"/>
              <w:rPr>
                <w:rFonts w:hint="eastAsia"/>
                <w:szCs w:val="21"/>
              </w:rPr>
            </w:pPr>
            <w:r>
              <w:rPr>
                <w:rFonts w:hint="eastAsia" w:ascii="宋体" w:hAnsi="宋体"/>
                <w:szCs w:val="21"/>
              </w:rPr>
              <w:t>001954</w:t>
            </w:r>
          </w:p>
        </w:tc>
        <w:tc>
          <w:tcPr>
            <w:tcW w:w="1295"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rFonts w:ascii="宋体" w:hAnsi="宋体"/>
                <w:szCs w:val="21"/>
              </w:rPr>
            </w:pPr>
            <w:r>
              <w:rPr>
                <w:rFonts w:hint="eastAsia" w:ascii="宋体" w:hAnsi="宋体"/>
                <w:szCs w:val="21"/>
              </w:rPr>
              <w:t>B</w:t>
            </w:r>
            <w:r>
              <w:rPr>
                <w:rFonts w:ascii="宋体" w:hAnsi="宋体"/>
                <w:szCs w:val="21"/>
              </w:rPr>
              <w:t>XHJ602499</w:t>
            </w:r>
          </w:p>
        </w:tc>
        <w:tc>
          <w:tcPr>
            <w:tcW w:w="2614" w:type="dxa"/>
            <w:tcBorders>
              <w:top w:val="single" w:color="auto" w:sz="4" w:space="0"/>
              <w:left w:val="single" w:color="auto" w:sz="4" w:space="0"/>
              <w:bottom w:val="single" w:color="auto" w:sz="4" w:space="0"/>
              <w:right w:val="single" w:color="auto" w:sz="4" w:space="0"/>
            </w:tcBorders>
            <w:vAlign w:val="center"/>
          </w:tcPr>
          <w:p>
            <w:pPr>
              <w:tabs>
                <w:tab w:val="left" w:pos="360"/>
              </w:tabs>
              <w:spacing w:line="286" w:lineRule="auto"/>
              <w:rPr>
                <w:szCs w:val="21"/>
              </w:rPr>
            </w:pPr>
            <w:r>
              <w:rPr>
                <w:rFonts w:hint="eastAsia"/>
                <w:kern w:val="0"/>
                <w:szCs w:val="21"/>
              </w:rPr>
              <w:t>劳动教育</w:t>
            </w:r>
          </w:p>
        </w:tc>
        <w:tc>
          <w:tcPr>
            <w:tcW w:w="574" w:type="dxa"/>
            <w:tcBorders>
              <w:top w:val="single" w:color="auto" w:sz="4" w:space="0"/>
              <w:left w:val="single" w:color="auto" w:sz="4" w:space="0"/>
              <w:bottom w:val="single" w:color="auto" w:sz="4" w:space="0"/>
              <w:right w:val="single" w:color="auto" w:sz="4" w:space="0"/>
            </w:tcBorders>
            <w:vAlign w:val="center"/>
          </w:tcPr>
          <w:p>
            <w:pPr>
              <w:spacing w:line="286" w:lineRule="auto"/>
              <w:ind w:right="-42" w:rightChars="-20"/>
              <w:jc w:val="center"/>
              <w:rPr>
                <w:szCs w:val="21"/>
              </w:rPr>
            </w:pPr>
            <w:r>
              <w:rPr>
                <w:rFonts w:hint="eastAsia"/>
                <w:kern w:val="0"/>
                <w:szCs w:val="21"/>
              </w:rPr>
              <w:t>0</w:t>
            </w:r>
          </w:p>
        </w:tc>
        <w:tc>
          <w:tcPr>
            <w:tcW w:w="723" w:type="dxa"/>
            <w:vMerge w:val="continue"/>
            <w:tcBorders>
              <w:left w:val="single" w:color="auto" w:sz="4" w:space="0"/>
              <w:right w:val="single" w:color="auto" w:sz="4" w:space="0"/>
            </w:tcBorders>
            <w:vAlign w:val="center"/>
          </w:tcPr>
          <w:p>
            <w:pPr>
              <w:spacing w:line="28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dxa"/>
            <w:vMerge w:val="continue"/>
            <w:tcBorders>
              <w:left w:val="single" w:color="auto" w:sz="4" w:space="0"/>
              <w:right w:val="single" w:color="auto" w:sz="4" w:space="0"/>
            </w:tcBorders>
            <w:vAlign w:val="center"/>
          </w:tcPr>
          <w:p>
            <w:pPr>
              <w:spacing w:line="286" w:lineRule="auto"/>
              <w:jc w:val="center"/>
              <w:rPr>
                <w:szCs w:val="21"/>
              </w:rPr>
            </w:pPr>
          </w:p>
        </w:tc>
        <w:tc>
          <w:tcPr>
            <w:tcW w:w="1063" w:type="dxa"/>
            <w:vMerge w:val="continue"/>
            <w:tcBorders>
              <w:left w:val="single" w:color="auto" w:sz="4" w:space="0"/>
              <w:right w:val="single" w:color="auto" w:sz="4" w:space="0"/>
            </w:tcBorders>
            <w:vAlign w:val="center"/>
          </w:tcPr>
          <w:p>
            <w:pPr>
              <w:spacing w:line="286" w:lineRule="auto"/>
              <w:jc w:val="center"/>
              <w:rPr>
                <w:szCs w:val="21"/>
              </w:rPr>
            </w:pPr>
          </w:p>
        </w:tc>
        <w:tc>
          <w:tcPr>
            <w:tcW w:w="1171" w:type="dxa"/>
            <w:tcBorders>
              <w:top w:val="single" w:color="auto" w:sz="4" w:space="0"/>
              <w:left w:val="single" w:color="auto" w:sz="4" w:space="0"/>
              <w:bottom w:val="single" w:color="auto" w:sz="4" w:space="0"/>
              <w:right w:val="single" w:color="auto" w:sz="4" w:space="0"/>
            </w:tcBorders>
          </w:tcPr>
          <w:p>
            <w:pPr>
              <w:spacing w:line="286" w:lineRule="auto"/>
              <w:jc w:val="center"/>
              <w:rPr>
                <w:rFonts w:hint="eastAsia" w:ascii="宋体" w:hAnsi="宋体"/>
                <w:szCs w:val="21"/>
              </w:rPr>
            </w:pPr>
            <w:r>
              <w:rPr>
                <w:rFonts w:hint="eastAsia" w:ascii="宋体" w:hAnsi="宋体"/>
                <w:szCs w:val="21"/>
              </w:rPr>
              <w:t>001955</w:t>
            </w:r>
          </w:p>
        </w:tc>
        <w:tc>
          <w:tcPr>
            <w:tcW w:w="1295"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rFonts w:hint="eastAsia" w:ascii="宋体" w:hAnsi="宋体"/>
                <w:szCs w:val="21"/>
              </w:rPr>
            </w:pPr>
            <w:r>
              <w:rPr>
                <w:rFonts w:hint="eastAsia" w:ascii="宋体" w:hAnsi="宋体"/>
                <w:szCs w:val="21"/>
              </w:rPr>
              <w:t>B</w:t>
            </w:r>
            <w:r>
              <w:rPr>
                <w:rFonts w:ascii="宋体" w:hAnsi="宋体"/>
                <w:szCs w:val="21"/>
              </w:rPr>
              <w:t>XHJ602399</w:t>
            </w:r>
          </w:p>
        </w:tc>
        <w:tc>
          <w:tcPr>
            <w:tcW w:w="2614" w:type="dxa"/>
            <w:tcBorders>
              <w:top w:val="single" w:color="auto" w:sz="4" w:space="0"/>
              <w:left w:val="single" w:color="auto" w:sz="4" w:space="0"/>
              <w:bottom w:val="single" w:color="auto" w:sz="4" w:space="0"/>
              <w:right w:val="single" w:color="auto" w:sz="4" w:space="0"/>
            </w:tcBorders>
            <w:vAlign w:val="center"/>
          </w:tcPr>
          <w:p>
            <w:pPr>
              <w:tabs>
                <w:tab w:val="left" w:pos="360"/>
              </w:tabs>
              <w:spacing w:line="286" w:lineRule="auto"/>
              <w:rPr>
                <w:rFonts w:hint="eastAsia"/>
                <w:kern w:val="0"/>
                <w:szCs w:val="21"/>
              </w:rPr>
            </w:pPr>
            <w:r>
              <w:rPr>
                <w:rFonts w:hint="eastAsia"/>
                <w:kern w:val="0"/>
                <w:szCs w:val="21"/>
              </w:rPr>
              <w:t>美育</w:t>
            </w:r>
          </w:p>
        </w:tc>
        <w:tc>
          <w:tcPr>
            <w:tcW w:w="574" w:type="dxa"/>
            <w:tcBorders>
              <w:top w:val="single" w:color="auto" w:sz="4" w:space="0"/>
              <w:left w:val="single" w:color="auto" w:sz="4" w:space="0"/>
              <w:bottom w:val="single" w:color="auto" w:sz="4" w:space="0"/>
              <w:right w:val="single" w:color="auto" w:sz="4" w:space="0"/>
            </w:tcBorders>
            <w:vAlign w:val="center"/>
          </w:tcPr>
          <w:p>
            <w:pPr>
              <w:spacing w:line="286" w:lineRule="auto"/>
              <w:ind w:right="-42" w:rightChars="-20"/>
              <w:jc w:val="center"/>
              <w:rPr>
                <w:rFonts w:hint="eastAsia"/>
                <w:kern w:val="0"/>
                <w:szCs w:val="21"/>
              </w:rPr>
            </w:pPr>
            <w:r>
              <w:rPr>
                <w:rFonts w:hint="eastAsia"/>
                <w:kern w:val="0"/>
                <w:szCs w:val="21"/>
              </w:rPr>
              <w:t>0</w:t>
            </w:r>
          </w:p>
        </w:tc>
        <w:tc>
          <w:tcPr>
            <w:tcW w:w="723" w:type="dxa"/>
            <w:vMerge w:val="continue"/>
            <w:tcBorders>
              <w:left w:val="single" w:color="auto" w:sz="4" w:space="0"/>
              <w:right w:val="single" w:color="auto" w:sz="4" w:space="0"/>
            </w:tcBorders>
            <w:vAlign w:val="center"/>
          </w:tcPr>
          <w:p>
            <w:pPr>
              <w:spacing w:line="28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0" w:type="dxa"/>
            <w:vMerge w:val="continue"/>
            <w:tcBorders>
              <w:left w:val="single" w:color="auto" w:sz="4" w:space="0"/>
              <w:right w:val="single" w:color="auto" w:sz="4" w:space="0"/>
            </w:tcBorders>
            <w:vAlign w:val="center"/>
          </w:tcPr>
          <w:p>
            <w:pPr>
              <w:spacing w:line="286" w:lineRule="auto"/>
              <w:jc w:val="center"/>
              <w:rPr>
                <w:szCs w:val="21"/>
              </w:rPr>
            </w:pPr>
          </w:p>
        </w:tc>
        <w:tc>
          <w:tcPr>
            <w:tcW w:w="1063" w:type="dxa"/>
            <w:vMerge w:val="continue"/>
            <w:tcBorders>
              <w:left w:val="single" w:color="auto" w:sz="4" w:space="0"/>
              <w:right w:val="single" w:color="auto" w:sz="4" w:space="0"/>
            </w:tcBorders>
            <w:vAlign w:val="center"/>
          </w:tcPr>
          <w:p>
            <w:pPr>
              <w:spacing w:line="286" w:lineRule="auto"/>
              <w:jc w:val="center"/>
              <w:rPr>
                <w:szCs w:val="21"/>
              </w:rPr>
            </w:pPr>
          </w:p>
        </w:tc>
        <w:tc>
          <w:tcPr>
            <w:tcW w:w="1171" w:type="dxa"/>
            <w:tcBorders>
              <w:top w:val="single" w:color="auto" w:sz="4" w:space="0"/>
              <w:left w:val="single" w:color="auto" w:sz="4" w:space="0"/>
              <w:bottom w:val="single" w:color="auto" w:sz="4" w:space="0"/>
              <w:right w:val="single" w:color="auto" w:sz="4" w:space="0"/>
            </w:tcBorders>
          </w:tcPr>
          <w:p>
            <w:pPr>
              <w:spacing w:line="286" w:lineRule="auto"/>
              <w:jc w:val="center"/>
              <w:rPr>
                <w:rFonts w:hint="eastAsia" w:ascii="宋体" w:hAnsi="宋体"/>
                <w:szCs w:val="21"/>
              </w:rPr>
            </w:pPr>
            <w:r>
              <w:rPr>
                <w:rFonts w:hint="eastAsia" w:ascii="宋体" w:hAnsi="宋体"/>
                <w:szCs w:val="21"/>
              </w:rPr>
              <w:t>001956</w:t>
            </w:r>
          </w:p>
        </w:tc>
        <w:tc>
          <w:tcPr>
            <w:tcW w:w="1295" w:type="dxa"/>
            <w:tcBorders>
              <w:top w:val="single" w:color="auto" w:sz="4" w:space="0"/>
              <w:left w:val="single" w:color="auto" w:sz="4" w:space="0"/>
              <w:bottom w:val="single" w:color="auto" w:sz="4" w:space="0"/>
              <w:right w:val="single" w:color="auto" w:sz="4" w:space="0"/>
            </w:tcBorders>
            <w:vAlign w:val="center"/>
          </w:tcPr>
          <w:p>
            <w:pPr>
              <w:spacing w:line="286" w:lineRule="auto"/>
              <w:jc w:val="center"/>
              <w:rPr>
                <w:rFonts w:hint="eastAsia" w:ascii="宋体" w:hAnsi="宋体"/>
                <w:szCs w:val="21"/>
              </w:rPr>
            </w:pPr>
            <w:r>
              <w:rPr>
                <w:rFonts w:hint="eastAsia" w:ascii="宋体" w:hAnsi="宋体"/>
                <w:szCs w:val="21"/>
              </w:rPr>
              <w:t>B</w:t>
            </w:r>
            <w:r>
              <w:rPr>
                <w:rFonts w:ascii="宋体" w:hAnsi="宋体"/>
                <w:szCs w:val="21"/>
              </w:rPr>
              <w:t>XHJ602299</w:t>
            </w:r>
          </w:p>
        </w:tc>
        <w:tc>
          <w:tcPr>
            <w:tcW w:w="2614" w:type="dxa"/>
            <w:tcBorders>
              <w:top w:val="single" w:color="auto" w:sz="4" w:space="0"/>
              <w:left w:val="single" w:color="auto" w:sz="4" w:space="0"/>
              <w:bottom w:val="single" w:color="auto" w:sz="4" w:space="0"/>
              <w:right w:val="single" w:color="auto" w:sz="4" w:space="0"/>
            </w:tcBorders>
            <w:vAlign w:val="center"/>
          </w:tcPr>
          <w:p>
            <w:pPr>
              <w:tabs>
                <w:tab w:val="left" w:pos="360"/>
              </w:tabs>
              <w:spacing w:line="286" w:lineRule="auto"/>
              <w:rPr>
                <w:rFonts w:hint="eastAsia"/>
                <w:kern w:val="0"/>
                <w:szCs w:val="21"/>
              </w:rPr>
            </w:pPr>
            <w:r>
              <w:rPr>
                <w:rFonts w:hint="eastAsia"/>
                <w:kern w:val="0"/>
                <w:szCs w:val="21"/>
              </w:rPr>
              <w:t>体育</w:t>
            </w:r>
          </w:p>
        </w:tc>
        <w:tc>
          <w:tcPr>
            <w:tcW w:w="574" w:type="dxa"/>
            <w:tcBorders>
              <w:top w:val="single" w:color="auto" w:sz="4" w:space="0"/>
              <w:left w:val="single" w:color="auto" w:sz="4" w:space="0"/>
              <w:bottom w:val="single" w:color="auto" w:sz="4" w:space="0"/>
              <w:right w:val="single" w:color="auto" w:sz="4" w:space="0"/>
            </w:tcBorders>
            <w:vAlign w:val="center"/>
          </w:tcPr>
          <w:p>
            <w:pPr>
              <w:spacing w:line="286" w:lineRule="auto"/>
              <w:ind w:right="-42" w:rightChars="-20"/>
              <w:jc w:val="center"/>
              <w:rPr>
                <w:rFonts w:hint="eastAsia"/>
                <w:kern w:val="0"/>
                <w:szCs w:val="21"/>
              </w:rPr>
            </w:pPr>
            <w:r>
              <w:rPr>
                <w:rFonts w:hint="eastAsia"/>
                <w:kern w:val="0"/>
                <w:szCs w:val="21"/>
              </w:rPr>
              <w:t>0</w:t>
            </w:r>
          </w:p>
        </w:tc>
        <w:tc>
          <w:tcPr>
            <w:tcW w:w="723" w:type="dxa"/>
            <w:vMerge w:val="continue"/>
            <w:tcBorders>
              <w:left w:val="single" w:color="auto" w:sz="4" w:space="0"/>
              <w:right w:val="single" w:color="auto" w:sz="4" w:space="0"/>
            </w:tcBorders>
            <w:vAlign w:val="center"/>
          </w:tcPr>
          <w:p>
            <w:pPr>
              <w:spacing w:line="286" w:lineRule="auto"/>
              <w:jc w:val="center"/>
              <w:rPr>
                <w:szCs w:val="21"/>
              </w:rPr>
            </w:pPr>
          </w:p>
        </w:tc>
      </w:tr>
    </w:tbl>
    <w:p>
      <w:pPr>
        <w:keepNext w:val="0"/>
        <w:keepLines w:val="0"/>
        <w:pageBreakBefore w:val="0"/>
        <w:widowControl w:val="0"/>
        <w:kinsoku/>
        <w:wordWrap/>
        <w:overflowPunct/>
        <w:topLinePunct w:val="0"/>
        <w:autoSpaceDE/>
        <w:autoSpaceDN/>
        <w:bidi w:val="0"/>
        <w:spacing w:before="192" w:beforeLines="80" w:after="120" w:afterLines="50" w:line="288" w:lineRule="auto"/>
        <w:textAlignment w:val="auto"/>
        <w:rPr>
          <w:rFonts w:eastAsia="黑体"/>
          <w:sz w:val="24"/>
          <w:szCs w:val="28"/>
        </w:rPr>
      </w:pPr>
      <w:r>
        <w:rPr>
          <w:rFonts w:eastAsia="黑体"/>
          <w:sz w:val="24"/>
          <w:szCs w:val="28"/>
        </w:rPr>
        <w:t>六、</w:t>
      </w:r>
      <w:r>
        <w:rPr>
          <w:rFonts w:hint="eastAsia" w:eastAsia="黑体"/>
          <w:sz w:val="24"/>
          <w:szCs w:val="28"/>
        </w:rPr>
        <w:t>临床考核</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szCs w:val="21"/>
        </w:rPr>
      </w:pPr>
      <w:r>
        <w:rPr>
          <w:rFonts w:hint="eastAsia"/>
          <w:szCs w:val="21"/>
        </w:rPr>
        <w:t>1．</w:t>
      </w:r>
      <w:r>
        <w:rPr>
          <w:szCs w:val="21"/>
        </w:rPr>
        <w:t>思想品德考核：申请人在申请</w:t>
      </w:r>
      <w:r>
        <w:rPr>
          <w:rFonts w:hint="eastAsia"/>
          <w:szCs w:val="21"/>
        </w:rPr>
        <w:t>护理</w:t>
      </w:r>
      <w:r>
        <w:rPr>
          <w:szCs w:val="21"/>
        </w:rPr>
        <w:t>硕士专业学位前，必须首先进行该项考核，考核通过，经所在学院主管部门审核合格者方可进行临床能力考核和学位论文答辩。</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szCs w:val="21"/>
        </w:rPr>
      </w:pPr>
      <w:r>
        <w:rPr>
          <w:szCs w:val="21"/>
        </w:rPr>
        <w:t>考核内容：（1</w:t>
      </w:r>
      <w:r>
        <w:rPr>
          <w:rFonts w:hint="eastAsia"/>
          <w:szCs w:val="21"/>
        </w:rPr>
        <w:t>）</w:t>
      </w:r>
      <w:r>
        <w:rPr>
          <w:szCs w:val="21"/>
        </w:rPr>
        <w:t>敬业精神和工作责任心；（2</w:t>
      </w:r>
      <w:r>
        <w:rPr>
          <w:rFonts w:hint="eastAsia"/>
          <w:szCs w:val="21"/>
        </w:rPr>
        <w:t>）</w:t>
      </w:r>
      <w:r>
        <w:rPr>
          <w:szCs w:val="21"/>
        </w:rPr>
        <w:t>医疗作风与科学作风；（3</w:t>
      </w:r>
      <w:r>
        <w:rPr>
          <w:rFonts w:hint="eastAsia"/>
          <w:szCs w:val="21"/>
        </w:rPr>
        <w:t>）</w:t>
      </w:r>
      <w:r>
        <w:rPr>
          <w:szCs w:val="21"/>
        </w:rPr>
        <w:t>医疗道德与服务态度；（4</w:t>
      </w:r>
      <w:r>
        <w:rPr>
          <w:rFonts w:hint="eastAsia"/>
          <w:szCs w:val="21"/>
        </w:rPr>
        <w:t>）</w:t>
      </w:r>
      <w:r>
        <w:rPr>
          <w:szCs w:val="21"/>
        </w:rPr>
        <w:t>团结协作与人际关系；（5</w:t>
      </w:r>
      <w:r>
        <w:rPr>
          <w:rFonts w:hint="eastAsia"/>
          <w:szCs w:val="21"/>
        </w:rPr>
        <w:t>）</w:t>
      </w:r>
      <w:r>
        <w:rPr>
          <w:szCs w:val="21"/>
        </w:rPr>
        <w:t>遵纪守法及劳动纪律。</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szCs w:val="21"/>
        </w:rPr>
      </w:pPr>
      <w:r>
        <w:rPr>
          <w:rFonts w:hint="eastAsia"/>
          <w:szCs w:val="21"/>
        </w:rPr>
        <w:t>2．</w:t>
      </w:r>
      <w:r>
        <w:rPr>
          <w:szCs w:val="21"/>
        </w:rPr>
        <w:t>临床综合能力考核：临床综合能力包括临床专业知识、临床分析能力、临床</w:t>
      </w:r>
      <w:r>
        <w:rPr>
          <w:rFonts w:hint="eastAsia"/>
          <w:szCs w:val="21"/>
        </w:rPr>
        <w:t>护理</w:t>
      </w:r>
      <w:r>
        <w:rPr>
          <w:szCs w:val="21"/>
        </w:rPr>
        <w:t>能力、临床技术操作能力，以及阅读专业外文文献的能力等。</w:t>
      </w:r>
      <w:r>
        <w:rPr>
          <w:rFonts w:hint="eastAsia"/>
          <w:szCs w:val="21"/>
        </w:rPr>
        <w:t>根据</w:t>
      </w:r>
      <w:r>
        <w:rPr>
          <w:szCs w:val="21"/>
        </w:rPr>
        <w:t>专业硕士研究生的培养要求，</w:t>
      </w:r>
      <w:r>
        <w:rPr>
          <w:rFonts w:hint="eastAsia"/>
          <w:szCs w:val="21"/>
        </w:rPr>
        <w:t>护理</w:t>
      </w:r>
      <w:r>
        <w:rPr>
          <w:szCs w:val="21"/>
        </w:rPr>
        <w:t>硕士专业学位研究生临床综合能力考核的</w:t>
      </w:r>
      <w:r>
        <w:rPr>
          <w:rFonts w:hint="eastAsia"/>
          <w:szCs w:val="21"/>
        </w:rPr>
        <w:t>内容</w:t>
      </w:r>
      <w:r>
        <w:rPr>
          <w:szCs w:val="21"/>
        </w:rPr>
        <w:t>包括转科考核和阶段考核</w:t>
      </w:r>
      <w:r>
        <w:rPr>
          <w:rFonts w:hint="eastAsia"/>
          <w:szCs w:val="21"/>
        </w:rPr>
        <w:t>，</w:t>
      </w:r>
      <w:r>
        <w:rPr>
          <w:szCs w:val="21"/>
        </w:rPr>
        <w:t>采取定性与定量相结合的方法</w:t>
      </w:r>
      <w:r>
        <w:rPr>
          <w:rFonts w:hint="eastAsia"/>
          <w:szCs w:val="21"/>
        </w:rPr>
        <w:t>，</w:t>
      </w:r>
      <w:r>
        <w:rPr>
          <w:szCs w:val="21"/>
        </w:rPr>
        <w:t>自我评价与专家考核相结合的方式</w:t>
      </w:r>
      <w:r>
        <w:rPr>
          <w:rFonts w:hint="eastAsia"/>
          <w:szCs w:val="21"/>
        </w:rPr>
        <w:t>，进行</w:t>
      </w:r>
      <w:r>
        <w:rPr>
          <w:szCs w:val="21"/>
        </w:rPr>
        <w:t>阶段性考核与终结性评价</w:t>
      </w:r>
      <w:r>
        <w:rPr>
          <w:rFonts w:hint="eastAsia"/>
          <w:szCs w:val="21"/>
        </w:rPr>
        <w:t>，</w:t>
      </w:r>
      <w:r>
        <w:rPr>
          <w:szCs w:val="21"/>
        </w:rPr>
        <w:t>考核合格者才能申请学位答辩</w:t>
      </w:r>
      <w:r>
        <w:rPr>
          <w:rFonts w:hint="eastAsia"/>
          <w:szCs w:val="21"/>
        </w:rPr>
        <w:t>。</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szCs w:val="21"/>
        </w:rPr>
      </w:pPr>
      <w:r>
        <w:rPr>
          <w:szCs w:val="21"/>
        </w:rPr>
        <w:t>考核内容：</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szCs w:val="21"/>
        </w:rPr>
      </w:pPr>
      <w:r>
        <w:rPr>
          <w:szCs w:val="21"/>
        </w:rPr>
        <w:t>（1</w:t>
      </w:r>
      <w:r>
        <w:rPr>
          <w:rFonts w:hint="eastAsia"/>
          <w:szCs w:val="21"/>
        </w:rPr>
        <w:t>）</w:t>
      </w:r>
      <w:r>
        <w:rPr>
          <w:szCs w:val="21"/>
        </w:rPr>
        <w:t>转科考核：考查申请人在第一阶段是否按照培养方案完成轮转科室的要求，是否掌握了</w:t>
      </w:r>
      <w:r>
        <w:rPr>
          <w:rFonts w:hint="eastAsia"/>
          <w:szCs w:val="21"/>
        </w:rPr>
        <w:t>该</w:t>
      </w:r>
      <w:r>
        <w:rPr>
          <w:szCs w:val="21"/>
        </w:rPr>
        <w:t>科室的基本护理理论和基本技能，是否具有良好的医德医风。（2</w:t>
      </w:r>
      <w:r>
        <w:rPr>
          <w:rFonts w:hint="eastAsia"/>
          <w:szCs w:val="21"/>
        </w:rPr>
        <w:t>）</w:t>
      </w:r>
      <w:r>
        <w:rPr>
          <w:szCs w:val="21"/>
        </w:rPr>
        <w:t>阶段考核：包括临床护理技能、解决临床护理问题的能力、专业课及专业外语的考核。该考核既是临床能力训练第一阶段的合格考核，也是学位课程考试，同时也作为</w:t>
      </w:r>
      <w:r>
        <w:rPr>
          <w:rFonts w:hint="eastAsia"/>
          <w:szCs w:val="21"/>
        </w:rPr>
        <w:t>护理</w:t>
      </w:r>
      <w:r>
        <w:rPr>
          <w:szCs w:val="21"/>
        </w:rPr>
        <w:t>硕士专业学位申请人的临床护理能力毕业考核，并且</w:t>
      </w:r>
      <w:r>
        <w:rPr>
          <w:rFonts w:hint="eastAsia"/>
          <w:szCs w:val="21"/>
        </w:rPr>
        <w:t>决定</w:t>
      </w:r>
      <w:r>
        <w:rPr>
          <w:szCs w:val="21"/>
        </w:rPr>
        <w:t>能否进入第二阶段的考核。申请人转科考核及思想品德考核合格，方可进行阶段考核。</w:t>
      </w:r>
    </w:p>
    <w:p>
      <w:pPr>
        <w:keepNext w:val="0"/>
        <w:keepLines w:val="0"/>
        <w:pageBreakBefore w:val="0"/>
        <w:widowControl w:val="0"/>
        <w:tabs>
          <w:tab w:val="left" w:pos="2940"/>
        </w:tabs>
        <w:kinsoku/>
        <w:wordWrap/>
        <w:overflowPunct/>
        <w:topLinePunct w:val="0"/>
        <w:autoSpaceDE/>
        <w:autoSpaceDN/>
        <w:bidi w:val="0"/>
        <w:adjustRightInd w:val="0"/>
        <w:snapToGrid w:val="0"/>
        <w:spacing w:line="288" w:lineRule="auto"/>
        <w:textAlignment w:val="auto"/>
        <w:rPr>
          <w:rFonts w:hint="eastAsia"/>
          <w:b/>
          <w:bCs/>
          <w:szCs w:val="21"/>
        </w:rPr>
      </w:pPr>
      <w:r>
        <w:rPr>
          <w:rFonts w:hint="eastAsia"/>
          <w:b/>
          <w:bCs/>
          <w:szCs w:val="21"/>
        </w:rPr>
        <w:t>七、体育、美育、劳动教育</w:t>
      </w:r>
    </w:p>
    <w:p>
      <w:pPr>
        <w:pStyle w:val="11"/>
        <w:keepNext w:val="0"/>
        <w:keepLines w:val="0"/>
        <w:pageBreakBefore w:val="0"/>
        <w:widowControl w:val="0"/>
        <w:kinsoku/>
        <w:wordWrap/>
        <w:overflowPunct/>
        <w:topLinePunct w:val="0"/>
        <w:autoSpaceDE/>
        <w:autoSpaceDN/>
        <w:bidi w:val="0"/>
        <w:spacing w:line="288" w:lineRule="auto"/>
        <w:textAlignment w:val="auto"/>
        <w:rPr>
          <w:rFonts w:ascii="黑体" w:hAnsi="黑体" w:eastAsia="黑体"/>
          <w:sz w:val="24"/>
          <w:szCs w:val="24"/>
        </w:rPr>
      </w:pPr>
      <w:r>
        <w:rPr>
          <w:rFonts w:hint="eastAsia"/>
          <w:sz w:val="21"/>
          <w:szCs w:val="21"/>
        </w:rPr>
        <w:t>研究生依据当年的体育、美育、劳动教育研修指南，结合个人兴趣爱好和培养计划安排，制定个人体育、美育、劳动教育环节研修计划并开展研修，由体育、美育、劳动教育牵头单位对环节是否“通过”给予认定。</w:t>
      </w:r>
    </w:p>
    <w:p>
      <w:pPr>
        <w:keepNext w:val="0"/>
        <w:keepLines w:val="0"/>
        <w:pageBreakBefore w:val="0"/>
        <w:widowControl w:val="0"/>
        <w:kinsoku/>
        <w:wordWrap/>
        <w:overflowPunct/>
        <w:topLinePunct w:val="0"/>
        <w:autoSpaceDE/>
        <w:autoSpaceDN/>
        <w:bidi w:val="0"/>
        <w:spacing w:before="120" w:beforeLines="50" w:after="120" w:afterLines="50" w:line="288" w:lineRule="auto"/>
        <w:textAlignment w:val="auto"/>
        <w:rPr>
          <w:rFonts w:ascii="黑体" w:hAnsi="黑体" w:eastAsia="黑体"/>
          <w:sz w:val="24"/>
          <w:szCs w:val="24"/>
        </w:rPr>
      </w:pPr>
      <w:r>
        <w:rPr>
          <w:rFonts w:hint="eastAsia" w:ascii="黑体" w:hAnsi="黑体" w:eastAsia="黑体"/>
          <w:sz w:val="24"/>
          <w:szCs w:val="24"/>
        </w:rPr>
        <w:t>八、学位论文</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ascii="宋体" w:hAnsi="宋体"/>
          <w:szCs w:val="21"/>
        </w:rPr>
      </w:pPr>
      <w:r>
        <w:rPr>
          <w:rFonts w:ascii="宋体" w:hAnsi="宋体"/>
          <w:szCs w:val="21"/>
        </w:rPr>
        <w:t>学位论文应在导师的指导下，由硕士生独立完成。学位论文应科学求实、文字简洁、分析严谨，理论推导和计算正确无误。</w:t>
      </w:r>
      <w:r>
        <w:rPr>
          <w:rFonts w:hint="eastAsia" w:ascii="宋体" w:hAnsi="宋体" w:cs="宋体"/>
          <w:kern w:val="0"/>
          <w:szCs w:val="21"/>
        </w:rPr>
        <w:t>学位论文形式包括研究报告、病例分析和系统评价。攻读学位者深入临床护理实践，选择与护理实践密切相关的课题，开展临床调查、病例分析、文献分析，设计研究方案，收集研究资料，在临床实践和调查分析的基础上，对存在的问题进行分析，提出建议，撰写学位论文。</w:t>
      </w:r>
      <w:r>
        <w:rPr>
          <w:rFonts w:ascii="宋体" w:hAnsi="宋体"/>
          <w:szCs w:val="21"/>
        </w:rPr>
        <w:t>学位论文应实行评审和答辩，硕士生在答辩时应能准确地回答与论文相关的问题。</w:t>
      </w:r>
    </w:p>
    <w:p>
      <w:pPr>
        <w:keepNext w:val="0"/>
        <w:keepLines w:val="0"/>
        <w:pageBreakBefore w:val="0"/>
        <w:widowControl w:val="0"/>
        <w:kinsoku/>
        <w:wordWrap/>
        <w:overflowPunct/>
        <w:topLinePunct w:val="0"/>
        <w:autoSpaceDE/>
        <w:autoSpaceDN/>
        <w:bidi w:val="0"/>
        <w:spacing w:line="288" w:lineRule="auto"/>
        <w:ind w:firstLine="420" w:firstLineChars="200"/>
        <w:textAlignment w:val="auto"/>
        <w:rPr>
          <w:rFonts w:ascii="宋体" w:hAnsi="宋体"/>
          <w:szCs w:val="21"/>
        </w:rPr>
      </w:pPr>
      <w:r>
        <w:rPr>
          <w:rFonts w:ascii="宋体" w:hAnsi="宋体"/>
          <w:szCs w:val="21"/>
        </w:rPr>
        <w:t>论文答辩按照《西安交通大学关于研究生学位申请的若干规定》进行。</w:t>
      </w:r>
    </w:p>
    <w:p>
      <w:pPr>
        <w:keepNext/>
        <w:keepLines/>
        <w:spacing w:before="340" w:after="340" w:line="286" w:lineRule="auto"/>
        <w:jc w:val="center"/>
        <w:outlineLvl w:val="1"/>
        <w:rPr>
          <w:rFonts w:hAnsi="Arial" w:eastAsia="黑体"/>
          <w:bCs/>
          <w:sz w:val="28"/>
          <w:szCs w:val="28"/>
        </w:rPr>
      </w:pPr>
      <w:bookmarkStart w:id="585" w:name="_Toc110427525"/>
      <w:r>
        <w:rPr>
          <w:rFonts w:hAnsi="Arial" w:eastAsia="黑体"/>
          <w:bCs/>
          <w:sz w:val="28"/>
          <w:szCs w:val="28"/>
        </w:rPr>
        <w:t>（</w:t>
      </w:r>
      <w:r>
        <w:rPr>
          <w:rFonts w:hint="eastAsia" w:hAnsi="Arial" w:eastAsia="黑体"/>
          <w:bCs/>
          <w:sz w:val="28"/>
          <w:szCs w:val="28"/>
        </w:rPr>
        <w:t>十</w:t>
      </w:r>
      <w:r>
        <w:rPr>
          <w:rFonts w:hAnsi="Arial" w:eastAsia="黑体"/>
          <w:bCs/>
          <w:sz w:val="28"/>
          <w:szCs w:val="28"/>
        </w:rPr>
        <w:t>）</w:t>
      </w:r>
      <w:r>
        <w:rPr>
          <w:rFonts w:hint="eastAsia" w:hAnsi="Arial" w:eastAsia="黑体"/>
          <w:bCs/>
          <w:sz w:val="28"/>
          <w:szCs w:val="28"/>
        </w:rPr>
        <w:t>药学硕士（1055）</w:t>
      </w:r>
      <w:r>
        <w:rPr>
          <w:rFonts w:hAnsi="Arial" w:eastAsia="黑体"/>
          <w:bCs/>
          <w:sz w:val="28"/>
          <w:szCs w:val="28"/>
        </w:rPr>
        <w:t>培养方案</w:t>
      </w:r>
      <w:bookmarkEnd w:id="585"/>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auto"/>
        <w:textAlignment w:val="auto"/>
        <w:rPr>
          <w:rFonts w:ascii="黑体" w:hAnsi="黑体" w:eastAsia="黑体"/>
          <w:sz w:val="24"/>
          <w:szCs w:val="24"/>
        </w:rPr>
      </w:pPr>
      <w:r>
        <w:rPr>
          <w:rFonts w:hint="eastAsia" w:ascii="黑体" w:hAnsi="黑体" w:eastAsia="黑体"/>
          <w:sz w:val="24"/>
          <w:szCs w:val="24"/>
        </w:rPr>
        <w:t>一、培养目标</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 w:val="21"/>
          <w:szCs w:val="21"/>
        </w:rPr>
      </w:pPr>
      <w:r>
        <w:rPr>
          <w:sz w:val="21"/>
          <w:szCs w:val="21"/>
        </w:rPr>
        <w:t>1</w:t>
      </w:r>
      <w:r>
        <w:rPr>
          <w:rFonts w:hint="eastAsia"/>
          <w:sz w:val="21"/>
          <w:szCs w:val="21"/>
        </w:rPr>
        <w:t>．热爱祖国，遵纪守法，品德良好，有献身于科学的强烈事业心和创新精神，积极为祖国医学事业发展贡献自己的才智。</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 w:val="21"/>
          <w:szCs w:val="21"/>
        </w:rPr>
      </w:pPr>
      <w:r>
        <w:rPr>
          <w:sz w:val="21"/>
          <w:szCs w:val="21"/>
        </w:rPr>
        <w:t>2</w:t>
      </w:r>
      <w:r>
        <w:rPr>
          <w:rFonts w:hint="eastAsia"/>
          <w:sz w:val="21"/>
          <w:szCs w:val="21"/>
        </w:rPr>
        <w:t>．掌握药学各学科的系统知识和基本技能，了解药学的基本教学方法和教学环节，熟悉药学研究的特点和方法，包括药物技术转化、生产、流通、使用、监管等领域，同时具有文献检索、资料收集、数据分析和处理等科学研究的基本方法，并具有较强的技术创新能力和解决实际问题能力。</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 w:val="21"/>
          <w:szCs w:val="21"/>
        </w:rPr>
      </w:pPr>
      <w:r>
        <w:rPr>
          <w:sz w:val="21"/>
          <w:szCs w:val="21"/>
        </w:rPr>
        <w:t>3</w:t>
      </w:r>
      <w:r>
        <w:rPr>
          <w:rFonts w:hint="eastAsia"/>
          <w:sz w:val="21"/>
          <w:szCs w:val="21"/>
        </w:rPr>
        <w:t>．能熟练掌握一门外语，阅读本专业的外文书刊等。</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auto"/>
        <w:textAlignment w:val="auto"/>
        <w:rPr>
          <w:rFonts w:ascii="黑体" w:hAnsi="黑体" w:eastAsia="黑体"/>
          <w:sz w:val="24"/>
          <w:szCs w:val="24"/>
        </w:rPr>
      </w:pPr>
      <w:r>
        <w:rPr>
          <w:rFonts w:hint="eastAsia" w:ascii="黑体" w:hAnsi="黑体" w:eastAsia="黑体"/>
          <w:sz w:val="24"/>
          <w:szCs w:val="24"/>
        </w:rPr>
        <w:t>二、专业方向</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 w:val="21"/>
          <w:szCs w:val="21"/>
        </w:rPr>
      </w:pPr>
      <w:r>
        <w:rPr>
          <w:sz w:val="21"/>
          <w:szCs w:val="21"/>
        </w:rPr>
        <w:t>1</w:t>
      </w:r>
      <w:r>
        <w:rPr>
          <w:rFonts w:hint="eastAsia"/>
          <w:sz w:val="21"/>
          <w:szCs w:val="21"/>
        </w:rPr>
        <w:t>．药物化学</w:t>
      </w:r>
      <w:r>
        <w:rPr>
          <w:sz w:val="21"/>
          <w:szCs w:val="21"/>
        </w:rPr>
        <w:t xml:space="preserve">                     2</w:t>
      </w:r>
      <w:r>
        <w:rPr>
          <w:rFonts w:hint="eastAsia"/>
          <w:sz w:val="21"/>
          <w:szCs w:val="21"/>
        </w:rPr>
        <w:t>．药剂学</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 w:val="21"/>
          <w:szCs w:val="21"/>
        </w:rPr>
      </w:pPr>
      <w:r>
        <w:rPr>
          <w:sz w:val="21"/>
          <w:szCs w:val="21"/>
        </w:rPr>
        <w:t>3</w:t>
      </w:r>
      <w:r>
        <w:rPr>
          <w:rFonts w:hint="eastAsia"/>
          <w:sz w:val="21"/>
          <w:szCs w:val="21"/>
        </w:rPr>
        <w:t>．生药学</w:t>
      </w:r>
      <w:r>
        <w:rPr>
          <w:sz w:val="21"/>
          <w:szCs w:val="21"/>
        </w:rPr>
        <w:t xml:space="preserve">                       4</w:t>
      </w:r>
      <w:r>
        <w:rPr>
          <w:rFonts w:hint="eastAsia"/>
          <w:sz w:val="21"/>
          <w:szCs w:val="21"/>
        </w:rPr>
        <w:t>．药物分析学</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 w:val="21"/>
          <w:szCs w:val="21"/>
        </w:rPr>
      </w:pPr>
      <w:r>
        <w:rPr>
          <w:sz w:val="21"/>
          <w:szCs w:val="21"/>
        </w:rPr>
        <w:t>5</w:t>
      </w:r>
      <w:r>
        <w:rPr>
          <w:rFonts w:hint="eastAsia"/>
          <w:sz w:val="21"/>
          <w:szCs w:val="21"/>
        </w:rPr>
        <w:t>．微生物与生化药学</w:t>
      </w:r>
      <w:r>
        <w:rPr>
          <w:sz w:val="21"/>
          <w:szCs w:val="21"/>
        </w:rPr>
        <w:t xml:space="preserve">             6</w:t>
      </w:r>
      <w:r>
        <w:rPr>
          <w:rFonts w:hint="eastAsia"/>
          <w:sz w:val="21"/>
          <w:szCs w:val="21"/>
        </w:rPr>
        <w:t>．药理学</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 w:val="21"/>
          <w:szCs w:val="21"/>
        </w:rPr>
      </w:pPr>
      <w:r>
        <w:rPr>
          <w:sz w:val="21"/>
          <w:szCs w:val="21"/>
        </w:rPr>
        <w:t>7</w:t>
      </w:r>
      <w:r>
        <w:rPr>
          <w:rFonts w:hint="eastAsia"/>
          <w:sz w:val="21"/>
          <w:szCs w:val="21"/>
        </w:rPr>
        <w:t>．天然药物化学</w:t>
      </w:r>
      <w:r>
        <w:rPr>
          <w:sz w:val="21"/>
          <w:szCs w:val="21"/>
        </w:rPr>
        <w:t xml:space="preserve">                 8</w:t>
      </w:r>
      <w:r>
        <w:rPr>
          <w:rFonts w:hint="eastAsia"/>
          <w:sz w:val="21"/>
          <w:szCs w:val="21"/>
        </w:rPr>
        <w:t>．药事管理学</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auto"/>
        <w:textAlignment w:val="auto"/>
        <w:rPr>
          <w:rFonts w:ascii="黑体" w:hAnsi="黑体" w:eastAsia="黑体"/>
          <w:sz w:val="24"/>
          <w:szCs w:val="24"/>
        </w:rPr>
      </w:pPr>
      <w:r>
        <w:rPr>
          <w:rFonts w:hint="eastAsia" w:ascii="黑体" w:hAnsi="黑体" w:eastAsia="黑体"/>
          <w:sz w:val="24"/>
          <w:szCs w:val="24"/>
        </w:rPr>
        <w:t>三、学习年限</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rFonts w:hint="eastAsia"/>
          <w:szCs w:val="21"/>
        </w:rPr>
        <w:t>本学科硕士研究生在校学习年限为</w:t>
      </w:r>
      <w:r>
        <w:rPr>
          <w:szCs w:val="21"/>
        </w:rPr>
        <w:t>3</w:t>
      </w:r>
      <w:r>
        <w:rPr>
          <w:rFonts w:hint="eastAsia"/>
          <w:szCs w:val="21"/>
        </w:rPr>
        <w:t>年。第一学年学习专业基础理论，掌握进行科研所必需的基本技能并尽可能写出文献综述。第二、三学年学习查阅文献、进行专业实践，与导师共同商定具体研究课题，进行课题研究，并形成论文。</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auto"/>
        <w:textAlignment w:val="auto"/>
        <w:rPr>
          <w:rFonts w:ascii="黑体" w:hAnsi="黑体" w:eastAsia="黑体"/>
          <w:sz w:val="24"/>
          <w:szCs w:val="24"/>
        </w:rPr>
      </w:pPr>
      <w:r>
        <w:rPr>
          <w:rFonts w:hint="eastAsia" w:ascii="黑体" w:hAnsi="黑体" w:eastAsia="黑体"/>
          <w:sz w:val="24"/>
          <w:szCs w:val="24"/>
        </w:rPr>
        <w:t>四、培养方式</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1</w:t>
      </w:r>
      <w:r>
        <w:rPr>
          <w:rFonts w:hint="eastAsia"/>
          <w:szCs w:val="21"/>
        </w:rPr>
        <w:t>．实行导师指导和课题组集体培养相结合的方式。</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2</w:t>
      </w:r>
      <w:r>
        <w:rPr>
          <w:rFonts w:hint="eastAsia"/>
          <w:szCs w:val="21"/>
        </w:rPr>
        <w:t>．课程学习可采用上课、自学、辅导、讨论等方式。</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3</w:t>
      </w:r>
      <w:r>
        <w:rPr>
          <w:rFonts w:hint="eastAsia"/>
          <w:szCs w:val="21"/>
        </w:rPr>
        <w:t>．</w:t>
      </w:r>
      <w:r>
        <w:rPr>
          <w:rFonts w:hint="eastAsia" w:ascii="宋体" w:hAnsi="宋体" w:cs="宋体"/>
          <w:szCs w:val="21"/>
        </w:rPr>
        <w:t>导师应根据本培养方案和因材施教的原则</w:t>
      </w:r>
      <w:r>
        <w:rPr>
          <w:rFonts w:hint="eastAsia"/>
          <w:szCs w:val="21"/>
        </w:rPr>
        <w:t>，于硕士生入学后</w:t>
      </w:r>
      <w:r>
        <w:rPr>
          <w:szCs w:val="21"/>
        </w:rPr>
        <w:t>2</w:t>
      </w:r>
      <w:r>
        <w:rPr>
          <w:rFonts w:hint="eastAsia"/>
          <w:szCs w:val="21"/>
        </w:rPr>
        <w:t>个月内，制定出具体的培养计划。</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4</w:t>
      </w:r>
      <w:r>
        <w:rPr>
          <w:rFonts w:hint="eastAsia"/>
          <w:szCs w:val="21"/>
        </w:rPr>
        <w:t>．开题应注重培养硕士生的创新能力及科研能力，在导师的指导下，通过查阅文献、调查研究后由本人确定。开题报告必须有详细记录，</w:t>
      </w:r>
      <w:r>
        <w:rPr>
          <w:rFonts w:hint="eastAsia"/>
          <w:bCs/>
          <w:szCs w:val="21"/>
        </w:rPr>
        <w:t>记录填写在《西安交通大学研究生开题报告》中。</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5</w:t>
      </w:r>
      <w:r>
        <w:rPr>
          <w:rFonts w:hint="eastAsia"/>
          <w:szCs w:val="21"/>
        </w:rPr>
        <w:t>．硕士生应参加校、院组织的研讨会或其它学术活动。根据科研工作的需要，可适当安排硕士生外出参加有关学术活动。</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6</w:t>
      </w:r>
      <w:r>
        <w:rPr>
          <w:rFonts w:hint="eastAsia"/>
          <w:szCs w:val="21"/>
        </w:rPr>
        <w:t>．硕士生应在第四学期结束前完成中期考核，考核不通过者，可以参加下学期的中期考核。</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contextualSpacing/>
        <w:textAlignment w:val="auto"/>
        <w:rPr>
          <w:bCs/>
          <w:szCs w:val="21"/>
        </w:rPr>
      </w:pPr>
      <w:r>
        <w:rPr>
          <w:rFonts w:hint="eastAsia"/>
          <w:kern w:val="0"/>
          <w:szCs w:val="21"/>
        </w:rPr>
        <w:t>7. 研究生的开题报告和中期报告中应包含实验安全风险评估的内容。</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auto"/>
        <w:textAlignment w:val="auto"/>
        <w:rPr>
          <w:rFonts w:ascii="黑体" w:hAnsi="黑体" w:eastAsia="黑体"/>
          <w:sz w:val="24"/>
          <w:szCs w:val="24"/>
        </w:rPr>
      </w:pPr>
      <w:r>
        <w:rPr>
          <w:rFonts w:hint="eastAsia" w:ascii="黑体" w:hAnsi="黑体" w:eastAsia="黑体"/>
          <w:sz w:val="24"/>
          <w:szCs w:val="24"/>
        </w:rPr>
        <w:t>五、课程学习</w:t>
      </w:r>
    </w:p>
    <w:p>
      <w:pPr>
        <w:keepNext w:val="0"/>
        <w:keepLines w:val="0"/>
        <w:pageBreakBefore w:val="0"/>
        <w:widowControl w:val="0"/>
        <w:kinsoku/>
        <w:wordWrap/>
        <w:overflowPunct/>
        <w:topLinePunct w:val="0"/>
        <w:autoSpaceDE/>
        <w:autoSpaceDN/>
        <w:bidi w:val="0"/>
        <w:adjustRightInd/>
        <w:snapToGrid/>
        <w:spacing w:after="120" w:afterLines="50" w:line="300" w:lineRule="auto"/>
        <w:ind w:firstLine="420" w:firstLineChars="200"/>
        <w:textAlignment w:val="auto"/>
        <w:rPr>
          <w:szCs w:val="21"/>
        </w:rPr>
      </w:pPr>
      <w:r>
        <w:rPr>
          <w:rFonts w:hint="eastAsia"/>
          <w:szCs w:val="21"/>
        </w:rPr>
        <w:t>硕士研究生的学习实行学分制。本学科的硕士研究生在校期间至少修满38学分，其中校学位必修课程不少于</w:t>
      </w:r>
      <w:r>
        <w:rPr>
          <w:szCs w:val="21"/>
        </w:rPr>
        <w:t>5</w:t>
      </w:r>
      <w:r>
        <w:rPr>
          <w:rFonts w:hint="eastAsia"/>
          <w:szCs w:val="21"/>
        </w:rPr>
        <w:t>学分，学院公共学位课</w:t>
      </w:r>
      <w:r>
        <w:rPr>
          <w:szCs w:val="21"/>
        </w:rPr>
        <w:t>4</w:t>
      </w:r>
      <w:r>
        <w:rPr>
          <w:rFonts w:hint="eastAsia"/>
          <w:szCs w:val="21"/>
        </w:rPr>
        <w:t>学分，专业基础课</w:t>
      </w:r>
      <w:r>
        <w:rPr>
          <w:szCs w:val="21"/>
        </w:rPr>
        <w:t>11</w:t>
      </w:r>
      <w:r>
        <w:rPr>
          <w:rFonts w:hint="eastAsia"/>
          <w:szCs w:val="21"/>
        </w:rPr>
        <w:t>学分，专业必修课2学分，专业选修课不少于4学分。</w:t>
      </w:r>
      <w:r>
        <w:rPr>
          <w:rFonts w:hint="eastAsia"/>
          <w:bCs/>
        </w:rPr>
        <w:t>另外要求必修环节12学分，</w:t>
      </w:r>
      <w:r>
        <w:rPr>
          <w:rFonts w:hint="eastAsia"/>
          <w:szCs w:val="21"/>
        </w:rPr>
        <w:t>其中学术活动</w:t>
      </w:r>
      <w:r>
        <w:rPr>
          <w:szCs w:val="21"/>
        </w:rPr>
        <w:t>1</w:t>
      </w:r>
      <w:r>
        <w:rPr>
          <w:rFonts w:hint="eastAsia"/>
          <w:szCs w:val="21"/>
        </w:rPr>
        <w:t>学分，专业实践</w:t>
      </w:r>
      <w:r>
        <w:rPr>
          <w:szCs w:val="21"/>
        </w:rPr>
        <w:t>8</w:t>
      </w:r>
      <w:r>
        <w:rPr>
          <w:rFonts w:hint="eastAsia"/>
          <w:szCs w:val="21"/>
        </w:rPr>
        <w:t>学分，中期考核</w:t>
      </w:r>
      <w:r>
        <w:rPr>
          <w:szCs w:val="21"/>
        </w:rPr>
        <w:t>3</w:t>
      </w:r>
      <w:r>
        <w:rPr>
          <w:rFonts w:hint="eastAsia"/>
          <w:szCs w:val="21"/>
        </w:rPr>
        <w:t>学分。</w:t>
      </w:r>
    </w:p>
    <w:tbl>
      <w:tblPr>
        <w:tblStyle w:val="37"/>
        <w:tblW w:w="8785"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112"/>
        <w:gridCol w:w="1148"/>
        <w:gridCol w:w="1375"/>
        <w:gridCol w:w="3082"/>
        <w:gridCol w:w="616"/>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right"/>
        </w:trPr>
        <w:tc>
          <w:tcPr>
            <w:tcW w:w="760" w:type="dxa"/>
            <w:vAlign w:val="center"/>
          </w:tcPr>
          <w:p>
            <w:pPr>
              <w:spacing w:line="286" w:lineRule="auto"/>
              <w:jc w:val="center"/>
              <w:rPr>
                <w:b/>
                <w:szCs w:val="21"/>
              </w:rPr>
            </w:pPr>
            <w:r>
              <w:rPr>
                <w:rFonts w:hint="eastAsia"/>
                <w:b/>
                <w:szCs w:val="21"/>
              </w:rPr>
              <w:t>课程类型</w:t>
            </w:r>
          </w:p>
        </w:tc>
        <w:tc>
          <w:tcPr>
            <w:tcW w:w="1112" w:type="dxa"/>
            <w:vAlign w:val="center"/>
          </w:tcPr>
          <w:p>
            <w:pPr>
              <w:spacing w:line="286" w:lineRule="auto"/>
              <w:jc w:val="center"/>
              <w:rPr>
                <w:b/>
                <w:szCs w:val="21"/>
              </w:rPr>
            </w:pPr>
            <w:r>
              <w:rPr>
                <w:rFonts w:hint="eastAsia"/>
                <w:b/>
                <w:szCs w:val="21"/>
              </w:rPr>
              <w:t>课程性质</w:t>
            </w:r>
          </w:p>
        </w:tc>
        <w:tc>
          <w:tcPr>
            <w:tcW w:w="1148" w:type="dxa"/>
            <w:vAlign w:val="center"/>
          </w:tcPr>
          <w:p>
            <w:pPr>
              <w:spacing w:line="286" w:lineRule="auto"/>
              <w:jc w:val="center"/>
              <w:rPr>
                <w:b/>
                <w:szCs w:val="21"/>
              </w:rPr>
            </w:pPr>
            <w:r>
              <w:rPr>
                <w:rFonts w:hint="eastAsia"/>
                <w:b/>
                <w:szCs w:val="21"/>
              </w:rPr>
              <w:t>课程编号</w:t>
            </w:r>
          </w:p>
        </w:tc>
        <w:tc>
          <w:tcPr>
            <w:tcW w:w="1375" w:type="dxa"/>
            <w:vAlign w:val="center"/>
          </w:tcPr>
          <w:p>
            <w:pPr>
              <w:spacing w:line="286" w:lineRule="auto"/>
              <w:jc w:val="center"/>
              <w:rPr>
                <w:b/>
                <w:szCs w:val="21"/>
              </w:rPr>
            </w:pPr>
            <w:r>
              <w:rPr>
                <w:rFonts w:hint="eastAsia"/>
                <w:b/>
                <w:szCs w:val="21"/>
              </w:rPr>
              <w:t>统一编码</w:t>
            </w:r>
          </w:p>
        </w:tc>
        <w:tc>
          <w:tcPr>
            <w:tcW w:w="3082" w:type="dxa"/>
            <w:vAlign w:val="center"/>
          </w:tcPr>
          <w:p>
            <w:pPr>
              <w:spacing w:line="286" w:lineRule="auto"/>
              <w:jc w:val="center"/>
              <w:rPr>
                <w:b/>
                <w:szCs w:val="21"/>
              </w:rPr>
            </w:pPr>
            <w:r>
              <w:rPr>
                <w:rFonts w:hint="eastAsia"/>
                <w:b/>
                <w:szCs w:val="21"/>
              </w:rPr>
              <w:t>课程名称</w:t>
            </w:r>
          </w:p>
        </w:tc>
        <w:tc>
          <w:tcPr>
            <w:tcW w:w="616" w:type="dxa"/>
            <w:vAlign w:val="center"/>
          </w:tcPr>
          <w:p>
            <w:pPr>
              <w:spacing w:line="286" w:lineRule="auto"/>
              <w:jc w:val="center"/>
              <w:rPr>
                <w:b/>
                <w:szCs w:val="21"/>
              </w:rPr>
            </w:pPr>
            <w:r>
              <w:rPr>
                <w:rFonts w:hint="eastAsia"/>
                <w:b/>
                <w:szCs w:val="21"/>
              </w:rPr>
              <w:t>学分</w:t>
            </w:r>
          </w:p>
        </w:tc>
        <w:tc>
          <w:tcPr>
            <w:tcW w:w="692" w:type="dxa"/>
            <w:vAlign w:val="center"/>
          </w:tcPr>
          <w:p>
            <w:pPr>
              <w:spacing w:line="286" w:lineRule="auto"/>
              <w:jc w:val="center"/>
              <w:rPr>
                <w:b/>
                <w:szCs w:val="21"/>
              </w:rPr>
            </w:pPr>
            <w:r>
              <w:rPr>
                <w:rFonts w:hint="eastAsia"/>
                <w:b/>
                <w:szCs w:val="21"/>
              </w:rPr>
              <w:t>应修学分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760" w:type="dxa"/>
            <w:vMerge w:val="restart"/>
            <w:vAlign w:val="center"/>
          </w:tcPr>
          <w:p>
            <w:pPr>
              <w:spacing w:line="286" w:lineRule="auto"/>
              <w:jc w:val="center"/>
              <w:rPr>
                <w:szCs w:val="21"/>
              </w:rPr>
            </w:pPr>
            <w:r>
              <w:rPr>
                <w:rFonts w:hint="eastAsia"/>
                <w:szCs w:val="21"/>
              </w:rPr>
              <w:t>学位课</w:t>
            </w:r>
          </w:p>
        </w:tc>
        <w:tc>
          <w:tcPr>
            <w:tcW w:w="1112" w:type="dxa"/>
            <w:vMerge w:val="restart"/>
            <w:vAlign w:val="center"/>
          </w:tcPr>
          <w:p>
            <w:pPr>
              <w:spacing w:line="286" w:lineRule="auto"/>
              <w:jc w:val="center"/>
              <w:rPr>
                <w:szCs w:val="21"/>
              </w:rPr>
            </w:pPr>
            <w:r>
              <w:rPr>
                <w:rFonts w:hint="eastAsia"/>
                <w:szCs w:val="21"/>
              </w:rPr>
              <w:t>校公共</w:t>
            </w:r>
          </w:p>
          <w:p>
            <w:pPr>
              <w:spacing w:line="286" w:lineRule="auto"/>
              <w:jc w:val="center"/>
              <w:rPr>
                <w:szCs w:val="21"/>
              </w:rPr>
            </w:pPr>
            <w:r>
              <w:rPr>
                <w:rFonts w:hint="eastAsia"/>
                <w:szCs w:val="21"/>
              </w:rPr>
              <w:t>学位课</w:t>
            </w:r>
          </w:p>
        </w:tc>
        <w:tc>
          <w:tcPr>
            <w:tcW w:w="1148" w:type="dxa"/>
            <w:vAlign w:val="center"/>
          </w:tcPr>
          <w:p>
            <w:pPr>
              <w:spacing w:line="286" w:lineRule="auto"/>
              <w:jc w:val="center"/>
              <w:rPr>
                <w:rFonts w:ascii="宋体" w:hAnsi="宋体"/>
                <w:szCs w:val="21"/>
              </w:rPr>
            </w:pPr>
            <w:r>
              <w:rPr>
                <w:rFonts w:hint="eastAsia" w:ascii="宋体" w:hAnsi="宋体"/>
                <w:szCs w:val="21"/>
              </w:rPr>
              <w:t>141003</w:t>
            </w:r>
          </w:p>
        </w:tc>
        <w:tc>
          <w:tcPr>
            <w:tcW w:w="1375" w:type="dxa"/>
            <w:vAlign w:val="center"/>
          </w:tcPr>
          <w:p>
            <w:pPr>
              <w:spacing w:line="286" w:lineRule="auto"/>
              <w:jc w:val="center"/>
              <w:rPr>
                <w:rFonts w:ascii="宋体" w:hAnsi="宋体"/>
                <w:szCs w:val="21"/>
              </w:rPr>
            </w:pPr>
            <w:r>
              <w:rPr>
                <w:rFonts w:ascii="宋体" w:hAnsi="宋体"/>
                <w:szCs w:val="21"/>
              </w:rPr>
              <w:t>MLMD6003</w:t>
            </w:r>
            <w:r>
              <w:rPr>
                <w:rFonts w:hint="eastAsia" w:ascii="宋体" w:hAnsi="宋体"/>
                <w:szCs w:val="21"/>
              </w:rPr>
              <w:t>14</w:t>
            </w:r>
          </w:p>
        </w:tc>
        <w:tc>
          <w:tcPr>
            <w:tcW w:w="3082" w:type="dxa"/>
            <w:vAlign w:val="center"/>
          </w:tcPr>
          <w:p>
            <w:pPr>
              <w:spacing w:line="286" w:lineRule="auto"/>
              <w:rPr>
                <w:szCs w:val="21"/>
              </w:rPr>
            </w:pPr>
            <w:r>
              <w:rPr>
                <w:rFonts w:hint="eastAsia"/>
                <w:szCs w:val="21"/>
              </w:rPr>
              <w:t>新时代中国特色社会主义理论与实践</w:t>
            </w:r>
          </w:p>
        </w:tc>
        <w:tc>
          <w:tcPr>
            <w:tcW w:w="616" w:type="dxa"/>
            <w:vAlign w:val="center"/>
          </w:tcPr>
          <w:p>
            <w:pPr>
              <w:spacing w:line="286" w:lineRule="auto"/>
              <w:jc w:val="center"/>
              <w:rPr>
                <w:szCs w:val="21"/>
              </w:rPr>
            </w:pPr>
            <w:r>
              <w:rPr>
                <w:szCs w:val="21"/>
              </w:rPr>
              <w:t>2</w:t>
            </w:r>
          </w:p>
        </w:tc>
        <w:tc>
          <w:tcPr>
            <w:tcW w:w="692" w:type="dxa"/>
            <w:vMerge w:val="restart"/>
            <w:vAlign w:val="center"/>
          </w:tcPr>
          <w:p>
            <w:pPr>
              <w:spacing w:line="286" w:lineRule="auto"/>
              <w:jc w:val="center"/>
              <w:rPr>
                <w:szCs w:val="21"/>
              </w:rPr>
            </w:pP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760" w:type="dxa"/>
            <w:vMerge w:val="continue"/>
            <w:vAlign w:val="center"/>
          </w:tcPr>
          <w:p>
            <w:pPr>
              <w:spacing w:line="286" w:lineRule="auto"/>
              <w:jc w:val="center"/>
              <w:rPr>
                <w:szCs w:val="21"/>
              </w:rPr>
            </w:pPr>
          </w:p>
        </w:tc>
        <w:tc>
          <w:tcPr>
            <w:tcW w:w="1112" w:type="dxa"/>
            <w:vMerge w:val="continue"/>
            <w:vAlign w:val="center"/>
          </w:tcPr>
          <w:p>
            <w:pPr>
              <w:spacing w:line="286" w:lineRule="auto"/>
              <w:jc w:val="center"/>
              <w:rPr>
                <w:szCs w:val="21"/>
              </w:rPr>
            </w:pPr>
          </w:p>
        </w:tc>
        <w:tc>
          <w:tcPr>
            <w:tcW w:w="1148" w:type="dxa"/>
            <w:vAlign w:val="center"/>
          </w:tcPr>
          <w:p>
            <w:pPr>
              <w:spacing w:line="286" w:lineRule="auto"/>
              <w:jc w:val="center"/>
              <w:rPr>
                <w:rFonts w:ascii="宋体" w:hAnsi="宋体"/>
                <w:szCs w:val="21"/>
              </w:rPr>
            </w:pPr>
            <w:r>
              <w:rPr>
                <w:rFonts w:hint="eastAsia" w:ascii="宋体" w:hAnsi="宋体"/>
                <w:szCs w:val="21"/>
              </w:rPr>
              <w:t>141005</w:t>
            </w:r>
          </w:p>
        </w:tc>
        <w:tc>
          <w:tcPr>
            <w:tcW w:w="1375" w:type="dxa"/>
            <w:vAlign w:val="center"/>
          </w:tcPr>
          <w:p>
            <w:pPr>
              <w:spacing w:line="286" w:lineRule="auto"/>
              <w:jc w:val="center"/>
              <w:rPr>
                <w:rFonts w:ascii="宋体" w:hAnsi="宋体"/>
                <w:szCs w:val="21"/>
              </w:rPr>
            </w:pPr>
            <w:r>
              <w:rPr>
                <w:rFonts w:ascii="宋体" w:hAnsi="宋体"/>
                <w:szCs w:val="21"/>
              </w:rPr>
              <w:t>PHLS6001</w:t>
            </w:r>
            <w:r>
              <w:rPr>
                <w:rFonts w:hint="eastAsia" w:ascii="宋体" w:hAnsi="宋体"/>
                <w:szCs w:val="21"/>
              </w:rPr>
              <w:t>14</w:t>
            </w:r>
          </w:p>
        </w:tc>
        <w:tc>
          <w:tcPr>
            <w:tcW w:w="3082" w:type="dxa"/>
            <w:vAlign w:val="center"/>
          </w:tcPr>
          <w:p>
            <w:pPr>
              <w:spacing w:line="286" w:lineRule="auto"/>
              <w:rPr>
                <w:szCs w:val="21"/>
              </w:rPr>
            </w:pPr>
            <w:r>
              <w:rPr>
                <w:rFonts w:hint="eastAsia"/>
                <w:szCs w:val="21"/>
              </w:rPr>
              <w:t>自然辩证法概论</w:t>
            </w:r>
          </w:p>
        </w:tc>
        <w:tc>
          <w:tcPr>
            <w:tcW w:w="616" w:type="dxa"/>
            <w:vAlign w:val="center"/>
          </w:tcPr>
          <w:p>
            <w:pPr>
              <w:spacing w:line="286" w:lineRule="auto"/>
              <w:jc w:val="center"/>
              <w:rPr>
                <w:szCs w:val="21"/>
              </w:rPr>
            </w:pPr>
            <w:r>
              <w:rPr>
                <w:szCs w:val="21"/>
              </w:rPr>
              <w:t>1</w:t>
            </w:r>
          </w:p>
        </w:tc>
        <w:tc>
          <w:tcPr>
            <w:tcW w:w="692" w:type="dxa"/>
            <w:vMerge w:val="continue"/>
            <w:vAlign w:val="center"/>
          </w:tcPr>
          <w:p>
            <w:pPr>
              <w:spacing w:line="28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760" w:type="dxa"/>
            <w:vMerge w:val="continue"/>
            <w:vAlign w:val="center"/>
          </w:tcPr>
          <w:p>
            <w:pPr>
              <w:spacing w:line="286" w:lineRule="auto"/>
              <w:jc w:val="center"/>
              <w:rPr>
                <w:szCs w:val="21"/>
              </w:rPr>
            </w:pPr>
          </w:p>
        </w:tc>
        <w:tc>
          <w:tcPr>
            <w:tcW w:w="1112" w:type="dxa"/>
            <w:vMerge w:val="continue"/>
            <w:vAlign w:val="center"/>
          </w:tcPr>
          <w:p>
            <w:pPr>
              <w:spacing w:line="286" w:lineRule="auto"/>
              <w:jc w:val="center"/>
              <w:rPr>
                <w:szCs w:val="21"/>
              </w:rPr>
            </w:pPr>
          </w:p>
        </w:tc>
        <w:tc>
          <w:tcPr>
            <w:tcW w:w="1148" w:type="dxa"/>
          </w:tcPr>
          <w:p>
            <w:pPr>
              <w:spacing w:line="286" w:lineRule="auto"/>
              <w:jc w:val="center"/>
              <w:rPr>
                <w:rFonts w:ascii="宋体" w:hAnsi="宋体"/>
                <w:szCs w:val="21"/>
              </w:rPr>
            </w:pPr>
            <w:r>
              <w:rPr>
                <w:rFonts w:hint="eastAsia" w:ascii="宋体" w:hAnsi="宋体"/>
                <w:szCs w:val="21"/>
              </w:rPr>
              <w:t>121068</w:t>
            </w:r>
          </w:p>
        </w:tc>
        <w:tc>
          <w:tcPr>
            <w:tcW w:w="1375" w:type="dxa"/>
          </w:tcPr>
          <w:p>
            <w:pPr>
              <w:spacing w:line="286" w:lineRule="auto"/>
              <w:jc w:val="center"/>
              <w:rPr>
                <w:rFonts w:ascii="宋体" w:hAnsi="宋体"/>
                <w:szCs w:val="21"/>
              </w:rPr>
            </w:pPr>
            <w:r>
              <w:rPr>
                <w:rFonts w:hint="eastAsia" w:ascii="宋体" w:hAnsi="宋体"/>
                <w:szCs w:val="21"/>
              </w:rPr>
              <w:t>ENGL602212</w:t>
            </w:r>
          </w:p>
        </w:tc>
        <w:tc>
          <w:tcPr>
            <w:tcW w:w="3082" w:type="dxa"/>
            <w:vAlign w:val="center"/>
          </w:tcPr>
          <w:p>
            <w:pPr>
              <w:spacing w:line="286" w:lineRule="auto"/>
              <w:rPr>
                <w:szCs w:val="21"/>
                <w:lang w:val="zh-CN"/>
              </w:rPr>
            </w:pPr>
            <w:r>
              <w:rPr>
                <w:rFonts w:hint="eastAsia" w:ascii="Calibri" w:hAnsi="Calibri"/>
              </w:rPr>
              <w:t>医学英语</w:t>
            </w:r>
          </w:p>
        </w:tc>
        <w:tc>
          <w:tcPr>
            <w:tcW w:w="616" w:type="dxa"/>
            <w:vAlign w:val="center"/>
          </w:tcPr>
          <w:p>
            <w:pPr>
              <w:spacing w:line="286" w:lineRule="auto"/>
              <w:jc w:val="center"/>
              <w:rPr>
                <w:szCs w:val="21"/>
                <w:lang w:val="zh-CN"/>
              </w:rPr>
            </w:pPr>
            <w:r>
              <w:rPr>
                <w:szCs w:val="21"/>
                <w:lang w:val="zh-CN"/>
              </w:rPr>
              <w:t>2</w:t>
            </w:r>
          </w:p>
        </w:tc>
        <w:tc>
          <w:tcPr>
            <w:tcW w:w="692" w:type="dxa"/>
            <w:vMerge w:val="continue"/>
            <w:vAlign w:val="center"/>
          </w:tcPr>
          <w:p>
            <w:pPr>
              <w:spacing w:line="28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760" w:type="dxa"/>
            <w:vMerge w:val="continue"/>
            <w:vAlign w:val="center"/>
          </w:tcPr>
          <w:p>
            <w:pPr>
              <w:spacing w:line="286" w:lineRule="auto"/>
              <w:jc w:val="center"/>
              <w:rPr>
                <w:szCs w:val="21"/>
              </w:rPr>
            </w:pPr>
          </w:p>
        </w:tc>
        <w:tc>
          <w:tcPr>
            <w:tcW w:w="1112" w:type="dxa"/>
            <w:vMerge w:val="restart"/>
            <w:vAlign w:val="center"/>
          </w:tcPr>
          <w:p>
            <w:pPr>
              <w:spacing w:line="286" w:lineRule="auto"/>
              <w:jc w:val="center"/>
              <w:rPr>
                <w:szCs w:val="21"/>
              </w:rPr>
            </w:pPr>
            <w:r>
              <w:rPr>
                <w:rFonts w:hint="eastAsia"/>
                <w:szCs w:val="21"/>
              </w:rPr>
              <w:t>院公共</w:t>
            </w:r>
          </w:p>
          <w:p>
            <w:pPr>
              <w:spacing w:line="286" w:lineRule="auto"/>
              <w:jc w:val="center"/>
              <w:rPr>
                <w:szCs w:val="21"/>
              </w:rPr>
            </w:pPr>
            <w:r>
              <w:rPr>
                <w:rFonts w:hint="eastAsia"/>
                <w:szCs w:val="21"/>
              </w:rPr>
              <w:t>学位课</w:t>
            </w:r>
          </w:p>
        </w:tc>
        <w:tc>
          <w:tcPr>
            <w:tcW w:w="1148" w:type="dxa"/>
            <w:vAlign w:val="center"/>
          </w:tcPr>
          <w:p>
            <w:pPr>
              <w:spacing w:line="286" w:lineRule="auto"/>
              <w:jc w:val="center"/>
              <w:rPr>
                <w:rFonts w:ascii="宋体" w:hAnsi="宋体"/>
                <w:szCs w:val="21"/>
              </w:rPr>
            </w:pPr>
            <w:r>
              <w:rPr>
                <w:rFonts w:hint="eastAsia" w:ascii="宋体" w:hAnsi="宋体"/>
                <w:szCs w:val="21"/>
              </w:rPr>
              <w:t>152050</w:t>
            </w:r>
          </w:p>
        </w:tc>
        <w:tc>
          <w:tcPr>
            <w:tcW w:w="1375" w:type="dxa"/>
            <w:vAlign w:val="center"/>
          </w:tcPr>
          <w:p>
            <w:pPr>
              <w:spacing w:line="286" w:lineRule="auto"/>
              <w:jc w:val="center"/>
              <w:rPr>
                <w:rFonts w:ascii="宋体" w:hAnsi="宋体"/>
                <w:szCs w:val="21"/>
              </w:rPr>
            </w:pPr>
            <w:r>
              <w:rPr>
                <w:rFonts w:ascii="宋体" w:hAnsi="宋体"/>
                <w:szCs w:val="21"/>
              </w:rPr>
              <w:t>PUBH6107</w:t>
            </w:r>
            <w:r>
              <w:rPr>
                <w:rFonts w:hint="eastAsia" w:ascii="宋体" w:hAnsi="宋体"/>
                <w:szCs w:val="21"/>
              </w:rPr>
              <w:t>15</w:t>
            </w:r>
          </w:p>
        </w:tc>
        <w:tc>
          <w:tcPr>
            <w:tcW w:w="3082" w:type="dxa"/>
            <w:vAlign w:val="center"/>
          </w:tcPr>
          <w:p>
            <w:pPr>
              <w:spacing w:line="286" w:lineRule="auto"/>
              <w:rPr>
                <w:szCs w:val="21"/>
              </w:rPr>
            </w:pPr>
            <w:r>
              <w:rPr>
                <w:rFonts w:hint="eastAsia"/>
                <w:szCs w:val="21"/>
              </w:rPr>
              <w:t>医学统计学</w:t>
            </w:r>
          </w:p>
        </w:tc>
        <w:tc>
          <w:tcPr>
            <w:tcW w:w="616" w:type="dxa"/>
            <w:vAlign w:val="center"/>
          </w:tcPr>
          <w:p>
            <w:pPr>
              <w:spacing w:line="286" w:lineRule="auto"/>
              <w:jc w:val="center"/>
              <w:rPr>
                <w:szCs w:val="21"/>
              </w:rPr>
            </w:pPr>
            <w:r>
              <w:rPr>
                <w:szCs w:val="21"/>
              </w:rPr>
              <w:t>2</w:t>
            </w:r>
          </w:p>
        </w:tc>
        <w:tc>
          <w:tcPr>
            <w:tcW w:w="692" w:type="dxa"/>
            <w:vMerge w:val="restart"/>
            <w:vAlign w:val="center"/>
          </w:tcPr>
          <w:p>
            <w:pPr>
              <w:spacing w:line="286" w:lineRule="auto"/>
              <w:jc w:val="center"/>
              <w:rPr>
                <w:szCs w:val="21"/>
              </w:rPr>
            </w:pPr>
            <w:r>
              <w:rPr>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760" w:type="dxa"/>
            <w:vMerge w:val="continue"/>
            <w:vAlign w:val="center"/>
          </w:tcPr>
          <w:p>
            <w:pPr>
              <w:spacing w:line="286" w:lineRule="auto"/>
              <w:jc w:val="center"/>
              <w:rPr>
                <w:szCs w:val="21"/>
              </w:rPr>
            </w:pPr>
          </w:p>
        </w:tc>
        <w:tc>
          <w:tcPr>
            <w:tcW w:w="1112" w:type="dxa"/>
            <w:vMerge w:val="continue"/>
            <w:vAlign w:val="center"/>
          </w:tcPr>
          <w:p>
            <w:pPr>
              <w:spacing w:line="286" w:lineRule="auto"/>
              <w:jc w:val="center"/>
              <w:rPr>
                <w:szCs w:val="21"/>
              </w:rPr>
            </w:pPr>
          </w:p>
        </w:tc>
        <w:tc>
          <w:tcPr>
            <w:tcW w:w="1148" w:type="dxa"/>
            <w:vAlign w:val="center"/>
          </w:tcPr>
          <w:p>
            <w:pPr>
              <w:spacing w:line="286" w:lineRule="auto"/>
              <w:jc w:val="center"/>
              <w:rPr>
                <w:rFonts w:ascii="宋体" w:hAnsi="宋体"/>
                <w:szCs w:val="21"/>
              </w:rPr>
            </w:pPr>
            <w:r>
              <w:rPr>
                <w:rFonts w:hint="eastAsia" w:ascii="宋体" w:hAnsi="宋体"/>
                <w:szCs w:val="21"/>
              </w:rPr>
              <w:t>152075</w:t>
            </w:r>
          </w:p>
        </w:tc>
        <w:tc>
          <w:tcPr>
            <w:tcW w:w="1375" w:type="dxa"/>
            <w:vAlign w:val="center"/>
          </w:tcPr>
          <w:p>
            <w:pPr>
              <w:spacing w:line="286" w:lineRule="auto"/>
              <w:jc w:val="center"/>
              <w:rPr>
                <w:rFonts w:ascii="宋体" w:hAnsi="宋体"/>
                <w:szCs w:val="21"/>
              </w:rPr>
            </w:pPr>
            <w:r>
              <w:rPr>
                <w:rFonts w:ascii="宋体" w:hAnsi="宋体"/>
                <w:szCs w:val="21"/>
              </w:rPr>
              <w:t>BASM6117</w:t>
            </w:r>
            <w:r>
              <w:rPr>
                <w:rFonts w:hint="eastAsia" w:ascii="宋体" w:hAnsi="宋体"/>
                <w:szCs w:val="21"/>
              </w:rPr>
              <w:t>15</w:t>
            </w:r>
          </w:p>
        </w:tc>
        <w:tc>
          <w:tcPr>
            <w:tcW w:w="3082" w:type="dxa"/>
            <w:vAlign w:val="center"/>
          </w:tcPr>
          <w:p>
            <w:pPr>
              <w:spacing w:line="286" w:lineRule="auto"/>
              <w:rPr>
                <w:szCs w:val="21"/>
              </w:rPr>
            </w:pPr>
            <w:r>
              <w:rPr>
                <w:rFonts w:hint="eastAsia"/>
                <w:szCs w:val="21"/>
              </w:rPr>
              <w:t>医学科学研究导论</w:t>
            </w:r>
          </w:p>
        </w:tc>
        <w:tc>
          <w:tcPr>
            <w:tcW w:w="616" w:type="dxa"/>
            <w:vAlign w:val="center"/>
          </w:tcPr>
          <w:p>
            <w:pPr>
              <w:spacing w:line="286" w:lineRule="auto"/>
              <w:jc w:val="center"/>
              <w:rPr>
                <w:szCs w:val="21"/>
              </w:rPr>
            </w:pPr>
            <w:r>
              <w:rPr>
                <w:szCs w:val="21"/>
              </w:rPr>
              <w:t>2</w:t>
            </w:r>
          </w:p>
        </w:tc>
        <w:tc>
          <w:tcPr>
            <w:tcW w:w="692" w:type="dxa"/>
            <w:vMerge w:val="continue"/>
            <w:vAlign w:val="center"/>
          </w:tcPr>
          <w:p>
            <w:pPr>
              <w:spacing w:line="28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760" w:type="dxa"/>
            <w:vMerge w:val="continue"/>
            <w:vAlign w:val="center"/>
          </w:tcPr>
          <w:p>
            <w:pPr>
              <w:spacing w:line="286" w:lineRule="auto"/>
              <w:jc w:val="center"/>
              <w:rPr>
                <w:szCs w:val="21"/>
              </w:rPr>
            </w:pPr>
          </w:p>
        </w:tc>
        <w:tc>
          <w:tcPr>
            <w:tcW w:w="1112" w:type="dxa"/>
            <w:vMerge w:val="restart"/>
            <w:vAlign w:val="center"/>
          </w:tcPr>
          <w:p>
            <w:pPr>
              <w:spacing w:before="48" w:beforeLines="20" w:line="286" w:lineRule="auto"/>
              <w:jc w:val="center"/>
              <w:rPr>
                <w:szCs w:val="21"/>
              </w:rPr>
            </w:pPr>
            <w:r>
              <w:rPr>
                <w:rFonts w:hint="eastAsia"/>
                <w:szCs w:val="21"/>
              </w:rPr>
              <w:t>专业</w:t>
            </w:r>
          </w:p>
          <w:p>
            <w:pPr>
              <w:spacing w:line="286" w:lineRule="auto"/>
              <w:jc w:val="center"/>
              <w:rPr>
                <w:szCs w:val="21"/>
              </w:rPr>
            </w:pPr>
            <w:r>
              <w:rPr>
                <w:rFonts w:hint="eastAsia"/>
                <w:szCs w:val="21"/>
              </w:rPr>
              <w:t>基础课</w:t>
            </w:r>
          </w:p>
        </w:tc>
        <w:tc>
          <w:tcPr>
            <w:tcW w:w="1148" w:type="dxa"/>
            <w:vAlign w:val="center"/>
          </w:tcPr>
          <w:p>
            <w:pPr>
              <w:spacing w:line="286" w:lineRule="auto"/>
              <w:jc w:val="center"/>
              <w:rPr>
                <w:rFonts w:ascii="宋体" w:hAnsi="宋体"/>
                <w:szCs w:val="21"/>
              </w:rPr>
            </w:pPr>
            <w:r>
              <w:rPr>
                <w:rFonts w:hint="eastAsia" w:ascii="宋体" w:hAnsi="宋体"/>
                <w:szCs w:val="21"/>
              </w:rPr>
              <w:t>152120</w:t>
            </w:r>
          </w:p>
        </w:tc>
        <w:tc>
          <w:tcPr>
            <w:tcW w:w="1375" w:type="dxa"/>
            <w:vAlign w:val="center"/>
          </w:tcPr>
          <w:p>
            <w:pPr>
              <w:spacing w:line="286" w:lineRule="auto"/>
              <w:jc w:val="center"/>
              <w:rPr>
                <w:rFonts w:ascii="宋体" w:hAnsi="宋体"/>
                <w:szCs w:val="21"/>
              </w:rPr>
            </w:pPr>
            <w:r>
              <w:rPr>
                <w:rFonts w:ascii="宋体" w:hAnsi="宋体"/>
                <w:szCs w:val="21"/>
              </w:rPr>
              <w:t>BASM6120</w:t>
            </w:r>
            <w:r>
              <w:rPr>
                <w:rFonts w:hint="eastAsia" w:ascii="宋体" w:hAnsi="宋体"/>
                <w:szCs w:val="21"/>
              </w:rPr>
              <w:t>15</w:t>
            </w:r>
          </w:p>
        </w:tc>
        <w:tc>
          <w:tcPr>
            <w:tcW w:w="3082" w:type="dxa"/>
            <w:vAlign w:val="center"/>
          </w:tcPr>
          <w:p>
            <w:pPr>
              <w:spacing w:line="286" w:lineRule="auto"/>
              <w:rPr>
                <w:b/>
                <w:szCs w:val="21"/>
              </w:rPr>
            </w:pPr>
            <w:r>
              <w:rPr>
                <w:rFonts w:hint="eastAsia"/>
                <w:szCs w:val="21"/>
              </w:rPr>
              <w:t>医用生物信息基础</w:t>
            </w:r>
          </w:p>
        </w:tc>
        <w:tc>
          <w:tcPr>
            <w:tcW w:w="616" w:type="dxa"/>
            <w:vAlign w:val="center"/>
          </w:tcPr>
          <w:p>
            <w:pPr>
              <w:spacing w:line="286" w:lineRule="auto"/>
              <w:jc w:val="center"/>
              <w:rPr>
                <w:szCs w:val="21"/>
              </w:rPr>
            </w:pPr>
            <w:r>
              <w:rPr>
                <w:szCs w:val="21"/>
              </w:rPr>
              <w:t>1</w:t>
            </w:r>
          </w:p>
        </w:tc>
        <w:tc>
          <w:tcPr>
            <w:tcW w:w="692" w:type="dxa"/>
            <w:vMerge w:val="restart"/>
            <w:vAlign w:val="center"/>
          </w:tcPr>
          <w:p>
            <w:pPr>
              <w:spacing w:line="286" w:lineRule="auto"/>
              <w:jc w:val="center"/>
              <w:rPr>
                <w:szCs w:val="21"/>
              </w:rPr>
            </w:pPr>
            <w:r>
              <w:rPr>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760" w:type="dxa"/>
            <w:vMerge w:val="continue"/>
            <w:vAlign w:val="center"/>
          </w:tcPr>
          <w:p>
            <w:pPr>
              <w:spacing w:line="286" w:lineRule="auto"/>
              <w:jc w:val="center"/>
              <w:rPr>
                <w:szCs w:val="21"/>
              </w:rPr>
            </w:pPr>
          </w:p>
        </w:tc>
        <w:tc>
          <w:tcPr>
            <w:tcW w:w="1112" w:type="dxa"/>
            <w:vMerge w:val="continue"/>
            <w:vAlign w:val="center"/>
          </w:tcPr>
          <w:p>
            <w:pPr>
              <w:spacing w:line="286" w:lineRule="auto"/>
              <w:jc w:val="center"/>
              <w:rPr>
                <w:szCs w:val="21"/>
              </w:rPr>
            </w:pPr>
          </w:p>
        </w:tc>
        <w:tc>
          <w:tcPr>
            <w:tcW w:w="1148" w:type="dxa"/>
            <w:vAlign w:val="center"/>
          </w:tcPr>
          <w:p>
            <w:pPr>
              <w:spacing w:line="286" w:lineRule="auto"/>
              <w:jc w:val="center"/>
              <w:rPr>
                <w:rFonts w:ascii="宋体" w:hAnsi="宋体"/>
                <w:szCs w:val="21"/>
              </w:rPr>
            </w:pPr>
            <w:r>
              <w:rPr>
                <w:rFonts w:hint="eastAsia" w:ascii="宋体" w:hAnsi="宋体"/>
                <w:szCs w:val="21"/>
              </w:rPr>
              <w:t>152125</w:t>
            </w:r>
          </w:p>
        </w:tc>
        <w:tc>
          <w:tcPr>
            <w:tcW w:w="1375" w:type="dxa"/>
            <w:vAlign w:val="center"/>
          </w:tcPr>
          <w:p>
            <w:pPr>
              <w:spacing w:line="286" w:lineRule="auto"/>
              <w:jc w:val="center"/>
              <w:rPr>
                <w:rFonts w:ascii="宋体" w:hAnsi="宋体"/>
                <w:szCs w:val="21"/>
              </w:rPr>
            </w:pPr>
            <w:r>
              <w:rPr>
                <w:rFonts w:ascii="宋体" w:hAnsi="宋体"/>
                <w:szCs w:val="21"/>
              </w:rPr>
              <w:t>PHMA6107</w:t>
            </w:r>
            <w:r>
              <w:rPr>
                <w:rFonts w:hint="eastAsia" w:ascii="宋体" w:hAnsi="宋体"/>
                <w:szCs w:val="21"/>
              </w:rPr>
              <w:t>15</w:t>
            </w:r>
          </w:p>
        </w:tc>
        <w:tc>
          <w:tcPr>
            <w:tcW w:w="3082" w:type="dxa"/>
            <w:vAlign w:val="center"/>
          </w:tcPr>
          <w:p>
            <w:pPr>
              <w:spacing w:line="286" w:lineRule="auto"/>
              <w:rPr>
                <w:szCs w:val="21"/>
              </w:rPr>
            </w:pPr>
            <w:r>
              <w:rPr>
                <w:rFonts w:hint="eastAsia"/>
                <w:szCs w:val="21"/>
              </w:rPr>
              <w:t>生物分析技术</w:t>
            </w:r>
          </w:p>
        </w:tc>
        <w:tc>
          <w:tcPr>
            <w:tcW w:w="616" w:type="dxa"/>
            <w:vAlign w:val="center"/>
          </w:tcPr>
          <w:p>
            <w:pPr>
              <w:spacing w:line="286" w:lineRule="auto"/>
              <w:jc w:val="center"/>
              <w:rPr>
                <w:szCs w:val="21"/>
              </w:rPr>
            </w:pPr>
            <w:r>
              <w:rPr>
                <w:szCs w:val="21"/>
              </w:rPr>
              <w:t>2</w:t>
            </w:r>
          </w:p>
        </w:tc>
        <w:tc>
          <w:tcPr>
            <w:tcW w:w="692" w:type="dxa"/>
            <w:vMerge w:val="continue"/>
            <w:vAlign w:val="center"/>
          </w:tcPr>
          <w:p>
            <w:pPr>
              <w:spacing w:line="28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760" w:type="dxa"/>
            <w:vMerge w:val="continue"/>
            <w:vAlign w:val="center"/>
          </w:tcPr>
          <w:p>
            <w:pPr>
              <w:spacing w:line="286" w:lineRule="auto"/>
              <w:jc w:val="center"/>
              <w:rPr>
                <w:szCs w:val="21"/>
              </w:rPr>
            </w:pPr>
          </w:p>
        </w:tc>
        <w:tc>
          <w:tcPr>
            <w:tcW w:w="1112" w:type="dxa"/>
            <w:vMerge w:val="continue"/>
            <w:vAlign w:val="center"/>
          </w:tcPr>
          <w:p>
            <w:pPr>
              <w:spacing w:line="286" w:lineRule="auto"/>
              <w:jc w:val="center"/>
              <w:rPr>
                <w:szCs w:val="21"/>
              </w:rPr>
            </w:pPr>
          </w:p>
        </w:tc>
        <w:tc>
          <w:tcPr>
            <w:tcW w:w="1148" w:type="dxa"/>
            <w:vAlign w:val="center"/>
          </w:tcPr>
          <w:p>
            <w:pPr>
              <w:spacing w:line="286" w:lineRule="auto"/>
              <w:jc w:val="center"/>
              <w:rPr>
                <w:rFonts w:ascii="宋体" w:hAnsi="宋体"/>
                <w:szCs w:val="21"/>
              </w:rPr>
            </w:pPr>
            <w:r>
              <w:rPr>
                <w:rFonts w:hint="eastAsia" w:ascii="宋体" w:hAnsi="宋体"/>
                <w:szCs w:val="21"/>
              </w:rPr>
              <w:t>152126</w:t>
            </w:r>
          </w:p>
        </w:tc>
        <w:tc>
          <w:tcPr>
            <w:tcW w:w="1375" w:type="dxa"/>
            <w:vAlign w:val="center"/>
          </w:tcPr>
          <w:p>
            <w:pPr>
              <w:spacing w:line="286" w:lineRule="auto"/>
              <w:jc w:val="center"/>
              <w:rPr>
                <w:rFonts w:ascii="宋体" w:hAnsi="宋体"/>
                <w:szCs w:val="21"/>
              </w:rPr>
            </w:pPr>
            <w:r>
              <w:rPr>
                <w:rFonts w:ascii="宋体" w:hAnsi="宋体"/>
                <w:szCs w:val="21"/>
              </w:rPr>
              <w:t>PHMA6108</w:t>
            </w:r>
            <w:r>
              <w:rPr>
                <w:rFonts w:hint="eastAsia" w:ascii="宋体" w:hAnsi="宋体"/>
                <w:szCs w:val="21"/>
              </w:rPr>
              <w:t>15</w:t>
            </w:r>
          </w:p>
        </w:tc>
        <w:tc>
          <w:tcPr>
            <w:tcW w:w="3082" w:type="dxa"/>
            <w:vAlign w:val="center"/>
          </w:tcPr>
          <w:p>
            <w:pPr>
              <w:spacing w:line="286" w:lineRule="auto"/>
              <w:rPr>
                <w:szCs w:val="21"/>
              </w:rPr>
            </w:pPr>
            <w:r>
              <w:rPr>
                <w:rFonts w:hint="eastAsia"/>
                <w:szCs w:val="21"/>
              </w:rPr>
              <w:t>现代分离技术</w:t>
            </w:r>
          </w:p>
        </w:tc>
        <w:tc>
          <w:tcPr>
            <w:tcW w:w="616" w:type="dxa"/>
            <w:vAlign w:val="center"/>
          </w:tcPr>
          <w:p>
            <w:pPr>
              <w:spacing w:line="286" w:lineRule="auto"/>
              <w:jc w:val="center"/>
              <w:rPr>
                <w:szCs w:val="21"/>
              </w:rPr>
            </w:pPr>
            <w:r>
              <w:rPr>
                <w:szCs w:val="21"/>
              </w:rPr>
              <w:t>2</w:t>
            </w:r>
          </w:p>
        </w:tc>
        <w:tc>
          <w:tcPr>
            <w:tcW w:w="692" w:type="dxa"/>
            <w:vMerge w:val="continue"/>
            <w:vAlign w:val="center"/>
          </w:tcPr>
          <w:p>
            <w:pPr>
              <w:spacing w:line="28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760" w:type="dxa"/>
            <w:vMerge w:val="continue"/>
            <w:vAlign w:val="center"/>
          </w:tcPr>
          <w:p>
            <w:pPr>
              <w:spacing w:line="286" w:lineRule="auto"/>
              <w:jc w:val="center"/>
              <w:rPr>
                <w:szCs w:val="21"/>
              </w:rPr>
            </w:pPr>
          </w:p>
        </w:tc>
        <w:tc>
          <w:tcPr>
            <w:tcW w:w="1112" w:type="dxa"/>
            <w:vMerge w:val="continue"/>
            <w:vAlign w:val="center"/>
          </w:tcPr>
          <w:p>
            <w:pPr>
              <w:spacing w:line="286" w:lineRule="auto"/>
              <w:jc w:val="center"/>
              <w:rPr>
                <w:szCs w:val="21"/>
              </w:rPr>
            </w:pPr>
          </w:p>
        </w:tc>
        <w:tc>
          <w:tcPr>
            <w:tcW w:w="1148" w:type="dxa"/>
            <w:vAlign w:val="center"/>
          </w:tcPr>
          <w:p>
            <w:pPr>
              <w:spacing w:line="286" w:lineRule="auto"/>
              <w:jc w:val="center"/>
              <w:rPr>
                <w:rFonts w:ascii="宋体" w:hAnsi="宋体"/>
                <w:szCs w:val="21"/>
              </w:rPr>
            </w:pPr>
            <w:r>
              <w:rPr>
                <w:rFonts w:hint="eastAsia" w:ascii="宋体" w:hAnsi="宋体"/>
                <w:szCs w:val="21"/>
              </w:rPr>
              <w:t>172007</w:t>
            </w:r>
          </w:p>
        </w:tc>
        <w:tc>
          <w:tcPr>
            <w:tcW w:w="1375" w:type="dxa"/>
            <w:vAlign w:val="center"/>
          </w:tcPr>
          <w:p>
            <w:pPr>
              <w:spacing w:line="286" w:lineRule="auto"/>
              <w:jc w:val="center"/>
              <w:rPr>
                <w:rFonts w:ascii="宋体" w:hAnsi="宋体"/>
                <w:szCs w:val="21"/>
              </w:rPr>
            </w:pPr>
            <w:r>
              <w:rPr>
                <w:rFonts w:ascii="宋体" w:hAnsi="宋体"/>
                <w:szCs w:val="21"/>
              </w:rPr>
              <w:t>PHMA6118</w:t>
            </w:r>
            <w:r>
              <w:rPr>
                <w:rFonts w:hint="eastAsia" w:ascii="宋体" w:hAnsi="宋体"/>
                <w:szCs w:val="21"/>
              </w:rPr>
              <w:t>15</w:t>
            </w:r>
          </w:p>
        </w:tc>
        <w:tc>
          <w:tcPr>
            <w:tcW w:w="3082" w:type="dxa"/>
            <w:vAlign w:val="center"/>
          </w:tcPr>
          <w:p>
            <w:pPr>
              <w:spacing w:line="286" w:lineRule="auto"/>
              <w:rPr>
                <w:szCs w:val="21"/>
              </w:rPr>
            </w:pPr>
            <w:r>
              <w:rPr>
                <w:rFonts w:hint="eastAsia"/>
                <w:szCs w:val="21"/>
              </w:rPr>
              <w:t>药事管理学进展</w:t>
            </w:r>
          </w:p>
        </w:tc>
        <w:tc>
          <w:tcPr>
            <w:tcW w:w="616" w:type="dxa"/>
            <w:vAlign w:val="center"/>
          </w:tcPr>
          <w:p>
            <w:pPr>
              <w:spacing w:line="286" w:lineRule="auto"/>
              <w:jc w:val="center"/>
              <w:rPr>
                <w:szCs w:val="21"/>
              </w:rPr>
            </w:pPr>
            <w:r>
              <w:rPr>
                <w:szCs w:val="21"/>
              </w:rPr>
              <w:t>2</w:t>
            </w:r>
          </w:p>
        </w:tc>
        <w:tc>
          <w:tcPr>
            <w:tcW w:w="692" w:type="dxa"/>
            <w:vMerge w:val="continue"/>
            <w:vAlign w:val="center"/>
          </w:tcPr>
          <w:p>
            <w:pPr>
              <w:spacing w:line="28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760" w:type="dxa"/>
            <w:vMerge w:val="continue"/>
            <w:vAlign w:val="center"/>
          </w:tcPr>
          <w:p>
            <w:pPr>
              <w:spacing w:line="286" w:lineRule="auto"/>
              <w:jc w:val="center"/>
              <w:rPr>
                <w:szCs w:val="21"/>
              </w:rPr>
            </w:pPr>
          </w:p>
        </w:tc>
        <w:tc>
          <w:tcPr>
            <w:tcW w:w="1112" w:type="dxa"/>
            <w:vMerge w:val="continue"/>
            <w:vAlign w:val="center"/>
          </w:tcPr>
          <w:p>
            <w:pPr>
              <w:spacing w:line="286" w:lineRule="auto"/>
              <w:jc w:val="center"/>
              <w:rPr>
                <w:szCs w:val="21"/>
              </w:rPr>
            </w:pPr>
          </w:p>
        </w:tc>
        <w:tc>
          <w:tcPr>
            <w:tcW w:w="1148" w:type="dxa"/>
            <w:vAlign w:val="center"/>
          </w:tcPr>
          <w:p>
            <w:pPr>
              <w:spacing w:line="286" w:lineRule="auto"/>
              <w:jc w:val="center"/>
              <w:rPr>
                <w:rFonts w:ascii="宋体" w:hAnsi="宋体"/>
                <w:szCs w:val="21"/>
              </w:rPr>
            </w:pPr>
            <w:r>
              <w:rPr>
                <w:rFonts w:hint="eastAsia" w:ascii="宋体" w:hAnsi="宋体"/>
                <w:szCs w:val="21"/>
              </w:rPr>
              <w:t>152178</w:t>
            </w:r>
          </w:p>
        </w:tc>
        <w:tc>
          <w:tcPr>
            <w:tcW w:w="1375" w:type="dxa"/>
            <w:vAlign w:val="center"/>
          </w:tcPr>
          <w:p>
            <w:pPr>
              <w:spacing w:line="286" w:lineRule="auto"/>
              <w:jc w:val="center"/>
              <w:rPr>
                <w:rFonts w:ascii="宋体" w:hAnsi="宋体"/>
                <w:szCs w:val="21"/>
              </w:rPr>
            </w:pPr>
            <w:r>
              <w:rPr>
                <w:rFonts w:ascii="宋体" w:hAnsi="宋体"/>
                <w:szCs w:val="21"/>
              </w:rPr>
              <w:t>PHMA6129</w:t>
            </w:r>
            <w:r>
              <w:rPr>
                <w:rFonts w:hint="eastAsia" w:ascii="宋体" w:hAnsi="宋体"/>
                <w:szCs w:val="21"/>
              </w:rPr>
              <w:t>15</w:t>
            </w:r>
          </w:p>
        </w:tc>
        <w:tc>
          <w:tcPr>
            <w:tcW w:w="3082" w:type="dxa"/>
            <w:vAlign w:val="center"/>
          </w:tcPr>
          <w:p>
            <w:pPr>
              <w:spacing w:line="286" w:lineRule="auto"/>
              <w:rPr>
                <w:szCs w:val="21"/>
              </w:rPr>
            </w:pPr>
            <w:r>
              <w:rPr>
                <w:rFonts w:hint="eastAsia"/>
                <w:szCs w:val="21"/>
              </w:rPr>
              <w:t>药学研究方法</w:t>
            </w:r>
          </w:p>
        </w:tc>
        <w:tc>
          <w:tcPr>
            <w:tcW w:w="616" w:type="dxa"/>
            <w:vAlign w:val="center"/>
          </w:tcPr>
          <w:p>
            <w:pPr>
              <w:spacing w:line="286" w:lineRule="auto"/>
              <w:jc w:val="center"/>
              <w:rPr>
                <w:szCs w:val="21"/>
              </w:rPr>
            </w:pPr>
            <w:r>
              <w:rPr>
                <w:szCs w:val="21"/>
              </w:rPr>
              <w:t>2</w:t>
            </w:r>
          </w:p>
        </w:tc>
        <w:tc>
          <w:tcPr>
            <w:tcW w:w="692" w:type="dxa"/>
            <w:vMerge w:val="continue"/>
            <w:vAlign w:val="center"/>
          </w:tcPr>
          <w:p>
            <w:pPr>
              <w:spacing w:line="28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760" w:type="dxa"/>
            <w:vMerge w:val="continue"/>
            <w:vAlign w:val="center"/>
          </w:tcPr>
          <w:p>
            <w:pPr>
              <w:spacing w:line="286" w:lineRule="auto"/>
              <w:jc w:val="center"/>
              <w:rPr>
                <w:szCs w:val="21"/>
              </w:rPr>
            </w:pPr>
          </w:p>
        </w:tc>
        <w:tc>
          <w:tcPr>
            <w:tcW w:w="1112" w:type="dxa"/>
            <w:vMerge w:val="continue"/>
            <w:vAlign w:val="center"/>
          </w:tcPr>
          <w:p>
            <w:pPr>
              <w:spacing w:line="286" w:lineRule="auto"/>
              <w:jc w:val="center"/>
              <w:rPr>
                <w:szCs w:val="21"/>
              </w:rPr>
            </w:pPr>
          </w:p>
        </w:tc>
        <w:tc>
          <w:tcPr>
            <w:tcW w:w="1148" w:type="dxa"/>
            <w:vAlign w:val="center"/>
          </w:tcPr>
          <w:p>
            <w:pPr>
              <w:spacing w:line="286" w:lineRule="auto"/>
              <w:jc w:val="center"/>
              <w:rPr>
                <w:rFonts w:ascii="宋体" w:hAnsi="宋体"/>
                <w:szCs w:val="21"/>
              </w:rPr>
            </w:pPr>
            <w:r>
              <w:rPr>
                <w:rFonts w:hint="eastAsia" w:ascii="宋体" w:hAnsi="宋体"/>
                <w:szCs w:val="21"/>
              </w:rPr>
              <w:t>152158</w:t>
            </w:r>
          </w:p>
        </w:tc>
        <w:tc>
          <w:tcPr>
            <w:tcW w:w="1375" w:type="dxa"/>
            <w:vAlign w:val="center"/>
          </w:tcPr>
          <w:p>
            <w:pPr>
              <w:spacing w:line="286" w:lineRule="auto"/>
              <w:jc w:val="center"/>
              <w:rPr>
                <w:rFonts w:ascii="宋体" w:hAnsi="宋体"/>
                <w:szCs w:val="21"/>
              </w:rPr>
            </w:pPr>
            <w:r>
              <w:rPr>
                <w:rFonts w:ascii="宋体" w:hAnsi="宋体"/>
                <w:szCs w:val="21"/>
              </w:rPr>
              <w:t>PHMA6701</w:t>
            </w:r>
            <w:r>
              <w:rPr>
                <w:rFonts w:hint="eastAsia" w:ascii="宋体" w:hAnsi="宋体"/>
                <w:szCs w:val="21"/>
              </w:rPr>
              <w:t>15</w:t>
            </w:r>
          </w:p>
        </w:tc>
        <w:tc>
          <w:tcPr>
            <w:tcW w:w="3082" w:type="dxa"/>
            <w:vAlign w:val="center"/>
          </w:tcPr>
          <w:p>
            <w:pPr>
              <w:spacing w:line="286" w:lineRule="auto"/>
              <w:rPr>
                <w:szCs w:val="21"/>
              </w:rPr>
            </w:pPr>
            <w:r>
              <w:rPr>
                <w:rFonts w:hint="eastAsia"/>
                <w:szCs w:val="21"/>
              </w:rPr>
              <w:t>现代制剂技术</w:t>
            </w:r>
          </w:p>
        </w:tc>
        <w:tc>
          <w:tcPr>
            <w:tcW w:w="616" w:type="dxa"/>
            <w:vAlign w:val="center"/>
          </w:tcPr>
          <w:p>
            <w:pPr>
              <w:spacing w:line="286" w:lineRule="auto"/>
              <w:jc w:val="center"/>
              <w:rPr>
                <w:szCs w:val="21"/>
              </w:rPr>
            </w:pPr>
            <w:r>
              <w:rPr>
                <w:szCs w:val="21"/>
              </w:rPr>
              <w:t>2</w:t>
            </w:r>
          </w:p>
        </w:tc>
        <w:tc>
          <w:tcPr>
            <w:tcW w:w="692" w:type="dxa"/>
            <w:vMerge w:val="continue"/>
            <w:vAlign w:val="center"/>
          </w:tcPr>
          <w:p>
            <w:pPr>
              <w:spacing w:line="28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760" w:type="dxa"/>
            <w:vMerge w:val="continue"/>
            <w:vAlign w:val="center"/>
          </w:tcPr>
          <w:p>
            <w:pPr>
              <w:spacing w:line="286" w:lineRule="auto"/>
              <w:jc w:val="center"/>
              <w:rPr>
                <w:szCs w:val="21"/>
              </w:rPr>
            </w:pPr>
          </w:p>
        </w:tc>
        <w:tc>
          <w:tcPr>
            <w:tcW w:w="1112" w:type="dxa"/>
            <w:vMerge w:val="restart"/>
            <w:vAlign w:val="center"/>
          </w:tcPr>
          <w:p>
            <w:pPr>
              <w:spacing w:line="286" w:lineRule="auto"/>
              <w:jc w:val="center"/>
              <w:rPr>
                <w:szCs w:val="21"/>
              </w:rPr>
            </w:pPr>
            <w:r>
              <w:rPr>
                <w:rFonts w:hint="eastAsia"/>
                <w:szCs w:val="21"/>
              </w:rPr>
              <w:t>专业</w:t>
            </w:r>
          </w:p>
          <w:p>
            <w:pPr>
              <w:spacing w:line="286" w:lineRule="auto"/>
              <w:jc w:val="center"/>
              <w:rPr>
                <w:szCs w:val="21"/>
              </w:rPr>
            </w:pPr>
            <w:r>
              <w:rPr>
                <w:rFonts w:hint="eastAsia"/>
                <w:szCs w:val="21"/>
              </w:rPr>
              <w:t>必修课</w:t>
            </w:r>
          </w:p>
        </w:tc>
        <w:tc>
          <w:tcPr>
            <w:tcW w:w="1148" w:type="dxa"/>
            <w:vAlign w:val="center"/>
          </w:tcPr>
          <w:p>
            <w:pPr>
              <w:spacing w:line="286" w:lineRule="auto"/>
              <w:jc w:val="center"/>
              <w:rPr>
                <w:rFonts w:ascii="宋体" w:hAnsi="宋体"/>
                <w:szCs w:val="21"/>
              </w:rPr>
            </w:pPr>
            <w:r>
              <w:rPr>
                <w:rFonts w:hint="eastAsia" w:ascii="宋体" w:hAnsi="宋体"/>
                <w:szCs w:val="21"/>
              </w:rPr>
              <w:t>152131</w:t>
            </w:r>
          </w:p>
        </w:tc>
        <w:tc>
          <w:tcPr>
            <w:tcW w:w="1375" w:type="dxa"/>
            <w:vAlign w:val="center"/>
          </w:tcPr>
          <w:p>
            <w:pPr>
              <w:spacing w:line="286" w:lineRule="auto"/>
              <w:jc w:val="center"/>
              <w:rPr>
                <w:rFonts w:ascii="宋体" w:hAnsi="宋体"/>
                <w:szCs w:val="21"/>
              </w:rPr>
            </w:pPr>
            <w:r>
              <w:rPr>
                <w:rFonts w:ascii="宋体" w:hAnsi="宋体"/>
                <w:szCs w:val="21"/>
              </w:rPr>
              <w:t>PHMA7106</w:t>
            </w:r>
            <w:r>
              <w:rPr>
                <w:rFonts w:hint="eastAsia" w:ascii="宋体" w:hAnsi="宋体"/>
                <w:szCs w:val="21"/>
              </w:rPr>
              <w:t>15</w:t>
            </w:r>
          </w:p>
        </w:tc>
        <w:tc>
          <w:tcPr>
            <w:tcW w:w="3082" w:type="dxa"/>
            <w:vAlign w:val="center"/>
          </w:tcPr>
          <w:p>
            <w:pPr>
              <w:spacing w:line="286" w:lineRule="auto"/>
              <w:rPr>
                <w:szCs w:val="21"/>
              </w:rPr>
            </w:pPr>
            <w:r>
              <w:rPr>
                <w:rFonts w:hint="eastAsia"/>
                <w:szCs w:val="21"/>
              </w:rPr>
              <w:t>药物化学（</w:t>
            </w:r>
            <w:r>
              <w:rPr>
                <w:szCs w:val="21"/>
              </w:rPr>
              <w:t>2</w:t>
            </w:r>
            <w:r>
              <w:rPr>
                <w:rFonts w:hint="eastAsia"/>
                <w:szCs w:val="21"/>
              </w:rPr>
              <w:t>）</w:t>
            </w:r>
          </w:p>
        </w:tc>
        <w:tc>
          <w:tcPr>
            <w:tcW w:w="616" w:type="dxa"/>
            <w:vAlign w:val="center"/>
          </w:tcPr>
          <w:p>
            <w:pPr>
              <w:spacing w:line="286" w:lineRule="auto"/>
              <w:jc w:val="center"/>
              <w:rPr>
                <w:szCs w:val="21"/>
              </w:rPr>
            </w:pPr>
            <w:r>
              <w:rPr>
                <w:szCs w:val="21"/>
              </w:rPr>
              <w:t>2</w:t>
            </w:r>
          </w:p>
        </w:tc>
        <w:tc>
          <w:tcPr>
            <w:tcW w:w="692" w:type="dxa"/>
            <w:vMerge w:val="restart"/>
            <w:vAlign w:val="center"/>
          </w:tcPr>
          <w:p>
            <w:pPr>
              <w:spacing w:line="286" w:lineRule="auto"/>
              <w:jc w:val="center"/>
              <w:rPr>
                <w:szCs w:val="21"/>
              </w:rPr>
            </w:pPr>
            <w:r>
              <w:rPr>
                <w:rFonts w:hint="eastAsia"/>
                <w:szCs w:val="21"/>
              </w:rPr>
              <w:t>根据学生的专业选修</w:t>
            </w:r>
            <w:r>
              <w:rPr>
                <w:szCs w:val="21"/>
              </w:rPr>
              <w:t>2</w:t>
            </w:r>
            <w:r>
              <w:rPr>
                <w:rFonts w:hint="eastAsia"/>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760" w:type="dxa"/>
            <w:vMerge w:val="continue"/>
            <w:vAlign w:val="center"/>
          </w:tcPr>
          <w:p>
            <w:pPr>
              <w:spacing w:line="286" w:lineRule="auto"/>
              <w:jc w:val="center"/>
              <w:rPr>
                <w:szCs w:val="21"/>
              </w:rPr>
            </w:pPr>
          </w:p>
        </w:tc>
        <w:tc>
          <w:tcPr>
            <w:tcW w:w="1112" w:type="dxa"/>
            <w:vMerge w:val="continue"/>
            <w:vAlign w:val="center"/>
          </w:tcPr>
          <w:p>
            <w:pPr>
              <w:spacing w:line="286" w:lineRule="auto"/>
              <w:jc w:val="center"/>
              <w:rPr>
                <w:szCs w:val="21"/>
              </w:rPr>
            </w:pPr>
          </w:p>
        </w:tc>
        <w:tc>
          <w:tcPr>
            <w:tcW w:w="1148" w:type="dxa"/>
            <w:vAlign w:val="center"/>
          </w:tcPr>
          <w:p>
            <w:pPr>
              <w:spacing w:line="286" w:lineRule="auto"/>
              <w:jc w:val="center"/>
              <w:rPr>
                <w:rFonts w:ascii="宋体" w:hAnsi="宋体"/>
                <w:szCs w:val="21"/>
              </w:rPr>
            </w:pPr>
            <w:r>
              <w:rPr>
                <w:rFonts w:hint="eastAsia" w:ascii="宋体" w:hAnsi="宋体"/>
                <w:szCs w:val="21"/>
              </w:rPr>
              <w:t>172014</w:t>
            </w:r>
          </w:p>
        </w:tc>
        <w:tc>
          <w:tcPr>
            <w:tcW w:w="1375" w:type="dxa"/>
            <w:vAlign w:val="center"/>
          </w:tcPr>
          <w:p>
            <w:pPr>
              <w:spacing w:line="286" w:lineRule="auto"/>
              <w:jc w:val="center"/>
              <w:rPr>
                <w:rFonts w:ascii="宋体" w:hAnsi="宋体"/>
                <w:szCs w:val="21"/>
              </w:rPr>
            </w:pPr>
            <w:r>
              <w:rPr>
                <w:rFonts w:ascii="宋体" w:hAnsi="宋体"/>
                <w:szCs w:val="21"/>
              </w:rPr>
              <w:t>PHMA7105</w:t>
            </w:r>
            <w:r>
              <w:rPr>
                <w:rFonts w:hint="eastAsia" w:ascii="宋体" w:hAnsi="宋体"/>
                <w:szCs w:val="21"/>
              </w:rPr>
              <w:t>15</w:t>
            </w:r>
          </w:p>
        </w:tc>
        <w:tc>
          <w:tcPr>
            <w:tcW w:w="3082" w:type="dxa"/>
            <w:vAlign w:val="center"/>
          </w:tcPr>
          <w:p>
            <w:pPr>
              <w:spacing w:line="286" w:lineRule="auto"/>
              <w:rPr>
                <w:szCs w:val="21"/>
              </w:rPr>
            </w:pPr>
            <w:r>
              <w:rPr>
                <w:rFonts w:hint="eastAsia"/>
                <w:szCs w:val="21"/>
              </w:rPr>
              <w:t>药剂学（</w:t>
            </w:r>
            <w:r>
              <w:rPr>
                <w:szCs w:val="21"/>
              </w:rPr>
              <w:t>2</w:t>
            </w:r>
            <w:r>
              <w:rPr>
                <w:rFonts w:hint="eastAsia"/>
                <w:szCs w:val="21"/>
              </w:rPr>
              <w:t>）</w:t>
            </w:r>
          </w:p>
        </w:tc>
        <w:tc>
          <w:tcPr>
            <w:tcW w:w="616" w:type="dxa"/>
            <w:vAlign w:val="center"/>
          </w:tcPr>
          <w:p>
            <w:pPr>
              <w:spacing w:line="286" w:lineRule="auto"/>
              <w:jc w:val="center"/>
              <w:rPr>
                <w:szCs w:val="21"/>
              </w:rPr>
            </w:pPr>
            <w:r>
              <w:rPr>
                <w:szCs w:val="21"/>
              </w:rPr>
              <w:t>2</w:t>
            </w:r>
          </w:p>
        </w:tc>
        <w:tc>
          <w:tcPr>
            <w:tcW w:w="692" w:type="dxa"/>
            <w:vMerge w:val="continue"/>
            <w:vAlign w:val="center"/>
          </w:tcPr>
          <w:p>
            <w:pPr>
              <w:spacing w:line="28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760" w:type="dxa"/>
            <w:vMerge w:val="continue"/>
            <w:vAlign w:val="center"/>
          </w:tcPr>
          <w:p>
            <w:pPr>
              <w:spacing w:line="286" w:lineRule="auto"/>
              <w:jc w:val="center"/>
              <w:rPr>
                <w:szCs w:val="21"/>
              </w:rPr>
            </w:pPr>
          </w:p>
        </w:tc>
        <w:tc>
          <w:tcPr>
            <w:tcW w:w="1112" w:type="dxa"/>
            <w:vMerge w:val="continue"/>
            <w:vAlign w:val="center"/>
          </w:tcPr>
          <w:p>
            <w:pPr>
              <w:spacing w:line="286" w:lineRule="auto"/>
              <w:jc w:val="center"/>
              <w:rPr>
                <w:szCs w:val="21"/>
              </w:rPr>
            </w:pPr>
          </w:p>
        </w:tc>
        <w:tc>
          <w:tcPr>
            <w:tcW w:w="1148" w:type="dxa"/>
            <w:vAlign w:val="center"/>
          </w:tcPr>
          <w:p>
            <w:pPr>
              <w:spacing w:line="286" w:lineRule="auto"/>
              <w:jc w:val="center"/>
              <w:rPr>
                <w:rFonts w:ascii="宋体" w:hAnsi="宋体"/>
                <w:szCs w:val="21"/>
              </w:rPr>
            </w:pPr>
            <w:r>
              <w:rPr>
                <w:rFonts w:hint="eastAsia" w:ascii="宋体" w:hAnsi="宋体"/>
                <w:szCs w:val="21"/>
              </w:rPr>
              <w:t>172005</w:t>
            </w:r>
          </w:p>
        </w:tc>
        <w:tc>
          <w:tcPr>
            <w:tcW w:w="1375" w:type="dxa"/>
            <w:vAlign w:val="center"/>
          </w:tcPr>
          <w:p>
            <w:pPr>
              <w:spacing w:line="286" w:lineRule="auto"/>
              <w:jc w:val="center"/>
              <w:rPr>
                <w:rFonts w:ascii="宋体" w:hAnsi="宋体"/>
                <w:szCs w:val="21"/>
              </w:rPr>
            </w:pPr>
            <w:r>
              <w:rPr>
                <w:rFonts w:ascii="宋体" w:hAnsi="宋体"/>
                <w:szCs w:val="21"/>
              </w:rPr>
              <w:t>PHMA7104</w:t>
            </w:r>
            <w:r>
              <w:rPr>
                <w:rFonts w:hint="eastAsia" w:ascii="宋体" w:hAnsi="宋体"/>
                <w:szCs w:val="21"/>
              </w:rPr>
              <w:t>15</w:t>
            </w:r>
          </w:p>
        </w:tc>
        <w:tc>
          <w:tcPr>
            <w:tcW w:w="3082" w:type="dxa"/>
            <w:vAlign w:val="center"/>
          </w:tcPr>
          <w:p>
            <w:pPr>
              <w:spacing w:line="286" w:lineRule="auto"/>
              <w:rPr>
                <w:szCs w:val="21"/>
              </w:rPr>
            </w:pPr>
            <w:r>
              <w:rPr>
                <w:rFonts w:hint="eastAsia"/>
                <w:szCs w:val="21"/>
              </w:rPr>
              <w:t>生药学（</w:t>
            </w:r>
            <w:r>
              <w:rPr>
                <w:szCs w:val="21"/>
              </w:rPr>
              <w:t>2</w:t>
            </w:r>
            <w:r>
              <w:rPr>
                <w:rFonts w:hint="eastAsia"/>
                <w:szCs w:val="21"/>
              </w:rPr>
              <w:t>）</w:t>
            </w:r>
          </w:p>
        </w:tc>
        <w:tc>
          <w:tcPr>
            <w:tcW w:w="616" w:type="dxa"/>
            <w:vAlign w:val="center"/>
          </w:tcPr>
          <w:p>
            <w:pPr>
              <w:spacing w:line="286" w:lineRule="auto"/>
              <w:jc w:val="center"/>
              <w:rPr>
                <w:szCs w:val="21"/>
              </w:rPr>
            </w:pPr>
            <w:r>
              <w:rPr>
                <w:szCs w:val="21"/>
              </w:rPr>
              <w:t>2</w:t>
            </w:r>
          </w:p>
        </w:tc>
        <w:tc>
          <w:tcPr>
            <w:tcW w:w="692" w:type="dxa"/>
            <w:vMerge w:val="continue"/>
            <w:vAlign w:val="center"/>
          </w:tcPr>
          <w:p>
            <w:pPr>
              <w:spacing w:line="28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760" w:type="dxa"/>
            <w:vMerge w:val="continue"/>
            <w:vAlign w:val="center"/>
          </w:tcPr>
          <w:p>
            <w:pPr>
              <w:spacing w:line="286" w:lineRule="auto"/>
              <w:jc w:val="center"/>
              <w:rPr>
                <w:szCs w:val="21"/>
              </w:rPr>
            </w:pPr>
          </w:p>
        </w:tc>
        <w:tc>
          <w:tcPr>
            <w:tcW w:w="1112" w:type="dxa"/>
            <w:vMerge w:val="continue"/>
            <w:vAlign w:val="center"/>
          </w:tcPr>
          <w:p>
            <w:pPr>
              <w:spacing w:line="286" w:lineRule="auto"/>
              <w:jc w:val="center"/>
              <w:rPr>
                <w:szCs w:val="21"/>
              </w:rPr>
            </w:pPr>
          </w:p>
        </w:tc>
        <w:tc>
          <w:tcPr>
            <w:tcW w:w="1148" w:type="dxa"/>
            <w:vAlign w:val="center"/>
          </w:tcPr>
          <w:p>
            <w:pPr>
              <w:spacing w:line="286" w:lineRule="auto"/>
              <w:jc w:val="center"/>
              <w:rPr>
                <w:rFonts w:ascii="宋体" w:hAnsi="宋体"/>
                <w:szCs w:val="21"/>
              </w:rPr>
            </w:pPr>
            <w:r>
              <w:rPr>
                <w:rFonts w:hint="eastAsia" w:ascii="宋体" w:hAnsi="宋体"/>
                <w:szCs w:val="21"/>
              </w:rPr>
              <w:t>172004</w:t>
            </w:r>
          </w:p>
        </w:tc>
        <w:tc>
          <w:tcPr>
            <w:tcW w:w="1375" w:type="dxa"/>
            <w:vAlign w:val="center"/>
          </w:tcPr>
          <w:p>
            <w:pPr>
              <w:spacing w:line="286" w:lineRule="auto"/>
              <w:jc w:val="center"/>
              <w:rPr>
                <w:rFonts w:ascii="宋体" w:hAnsi="宋体"/>
                <w:szCs w:val="21"/>
              </w:rPr>
            </w:pPr>
            <w:r>
              <w:rPr>
                <w:rFonts w:ascii="宋体" w:hAnsi="宋体"/>
                <w:szCs w:val="21"/>
              </w:rPr>
              <w:t>PHMA7103</w:t>
            </w:r>
            <w:r>
              <w:rPr>
                <w:rFonts w:hint="eastAsia" w:ascii="宋体" w:hAnsi="宋体"/>
                <w:szCs w:val="21"/>
              </w:rPr>
              <w:t>15</w:t>
            </w:r>
          </w:p>
        </w:tc>
        <w:tc>
          <w:tcPr>
            <w:tcW w:w="3082" w:type="dxa"/>
            <w:vAlign w:val="center"/>
          </w:tcPr>
          <w:p>
            <w:pPr>
              <w:spacing w:line="286" w:lineRule="auto"/>
              <w:rPr>
                <w:szCs w:val="21"/>
              </w:rPr>
            </w:pPr>
            <w:r>
              <w:rPr>
                <w:rFonts w:hint="eastAsia"/>
                <w:szCs w:val="21"/>
              </w:rPr>
              <w:t>药物分析学（</w:t>
            </w:r>
            <w:r>
              <w:rPr>
                <w:szCs w:val="21"/>
              </w:rPr>
              <w:t>2</w:t>
            </w:r>
            <w:r>
              <w:rPr>
                <w:rFonts w:hint="eastAsia"/>
                <w:szCs w:val="21"/>
              </w:rPr>
              <w:t>）</w:t>
            </w:r>
          </w:p>
        </w:tc>
        <w:tc>
          <w:tcPr>
            <w:tcW w:w="616" w:type="dxa"/>
            <w:vAlign w:val="center"/>
          </w:tcPr>
          <w:p>
            <w:pPr>
              <w:spacing w:line="286" w:lineRule="auto"/>
              <w:jc w:val="center"/>
              <w:rPr>
                <w:szCs w:val="21"/>
              </w:rPr>
            </w:pPr>
            <w:r>
              <w:rPr>
                <w:szCs w:val="21"/>
              </w:rPr>
              <w:t>2</w:t>
            </w:r>
          </w:p>
        </w:tc>
        <w:tc>
          <w:tcPr>
            <w:tcW w:w="692" w:type="dxa"/>
            <w:vMerge w:val="continue"/>
            <w:vAlign w:val="center"/>
          </w:tcPr>
          <w:p>
            <w:pPr>
              <w:spacing w:line="28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760" w:type="dxa"/>
            <w:vMerge w:val="continue"/>
            <w:vAlign w:val="center"/>
          </w:tcPr>
          <w:p>
            <w:pPr>
              <w:spacing w:line="286" w:lineRule="auto"/>
              <w:jc w:val="center"/>
              <w:rPr>
                <w:szCs w:val="21"/>
              </w:rPr>
            </w:pPr>
          </w:p>
        </w:tc>
        <w:tc>
          <w:tcPr>
            <w:tcW w:w="1112" w:type="dxa"/>
            <w:vMerge w:val="continue"/>
            <w:vAlign w:val="center"/>
          </w:tcPr>
          <w:p>
            <w:pPr>
              <w:spacing w:line="286" w:lineRule="auto"/>
              <w:jc w:val="center"/>
              <w:rPr>
                <w:szCs w:val="21"/>
              </w:rPr>
            </w:pPr>
          </w:p>
        </w:tc>
        <w:tc>
          <w:tcPr>
            <w:tcW w:w="1148" w:type="dxa"/>
            <w:vAlign w:val="center"/>
          </w:tcPr>
          <w:p>
            <w:pPr>
              <w:spacing w:line="286" w:lineRule="auto"/>
              <w:jc w:val="center"/>
              <w:rPr>
                <w:rFonts w:ascii="宋体" w:hAnsi="宋体"/>
                <w:szCs w:val="21"/>
              </w:rPr>
            </w:pPr>
            <w:r>
              <w:rPr>
                <w:rFonts w:hint="eastAsia" w:ascii="宋体" w:hAnsi="宋体"/>
                <w:szCs w:val="21"/>
              </w:rPr>
              <w:t>152133</w:t>
            </w:r>
          </w:p>
        </w:tc>
        <w:tc>
          <w:tcPr>
            <w:tcW w:w="1375" w:type="dxa"/>
            <w:vAlign w:val="center"/>
          </w:tcPr>
          <w:p>
            <w:pPr>
              <w:spacing w:line="286" w:lineRule="auto"/>
              <w:jc w:val="center"/>
              <w:rPr>
                <w:rFonts w:ascii="宋体" w:hAnsi="宋体"/>
                <w:szCs w:val="21"/>
              </w:rPr>
            </w:pPr>
            <w:r>
              <w:rPr>
                <w:rFonts w:ascii="宋体" w:hAnsi="宋体"/>
                <w:szCs w:val="21"/>
              </w:rPr>
              <w:t>PHMA7102</w:t>
            </w:r>
            <w:r>
              <w:rPr>
                <w:rFonts w:hint="eastAsia" w:ascii="宋体" w:hAnsi="宋体"/>
                <w:szCs w:val="21"/>
              </w:rPr>
              <w:t>15</w:t>
            </w:r>
          </w:p>
        </w:tc>
        <w:tc>
          <w:tcPr>
            <w:tcW w:w="3082" w:type="dxa"/>
            <w:vAlign w:val="center"/>
          </w:tcPr>
          <w:p>
            <w:pPr>
              <w:spacing w:line="286" w:lineRule="auto"/>
              <w:rPr>
                <w:szCs w:val="21"/>
              </w:rPr>
            </w:pPr>
            <w:r>
              <w:rPr>
                <w:rFonts w:hint="eastAsia"/>
                <w:szCs w:val="21"/>
              </w:rPr>
              <w:t>微生物与生化药学（</w:t>
            </w:r>
            <w:r>
              <w:rPr>
                <w:szCs w:val="21"/>
              </w:rPr>
              <w:t>2</w:t>
            </w:r>
            <w:r>
              <w:rPr>
                <w:rFonts w:hint="eastAsia"/>
                <w:szCs w:val="21"/>
              </w:rPr>
              <w:t>）</w:t>
            </w:r>
          </w:p>
        </w:tc>
        <w:tc>
          <w:tcPr>
            <w:tcW w:w="616" w:type="dxa"/>
            <w:vAlign w:val="center"/>
          </w:tcPr>
          <w:p>
            <w:pPr>
              <w:spacing w:line="286" w:lineRule="auto"/>
              <w:jc w:val="center"/>
              <w:rPr>
                <w:szCs w:val="21"/>
              </w:rPr>
            </w:pPr>
            <w:r>
              <w:rPr>
                <w:szCs w:val="21"/>
              </w:rPr>
              <w:t>2</w:t>
            </w:r>
          </w:p>
        </w:tc>
        <w:tc>
          <w:tcPr>
            <w:tcW w:w="692" w:type="dxa"/>
            <w:vMerge w:val="continue"/>
            <w:vAlign w:val="center"/>
          </w:tcPr>
          <w:p>
            <w:pPr>
              <w:spacing w:line="28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760" w:type="dxa"/>
            <w:vMerge w:val="continue"/>
            <w:vAlign w:val="center"/>
          </w:tcPr>
          <w:p>
            <w:pPr>
              <w:spacing w:line="286" w:lineRule="auto"/>
              <w:jc w:val="center"/>
              <w:rPr>
                <w:szCs w:val="21"/>
              </w:rPr>
            </w:pPr>
          </w:p>
        </w:tc>
        <w:tc>
          <w:tcPr>
            <w:tcW w:w="1112" w:type="dxa"/>
            <w:vMerge w:val="continue"/>
            <w:vAlign w:val="center"/>
          </w:tcPr>
          <w:p>
            <w:pPr>
              <w:spacing w:line="286" w:lineRule="auto"/>
              <w:jc w:val="center"/>
              <w:rPr>
                <w:szCs w:val="21"/>
              </w:rPr>
            </w:pPr>
          </w:p>
        </w:tc>
        <w:tc>
          <w:tcPr>
            <w:tcW w:w="1148" w:type="dxa"/>
            <w:vAlign w:val="center"/>
          </w:tcPr>
          <w:p>
            <w:pPr>
              <w:spacing w:line="286" w:lineRule="auto"/>
              <w:jc w:val="center"/>
              <w:rPr>
                <w:rFonts w:ascii="宋体" w:hAnsi="宋体"/>
                <w:szCs w:val="21"/>
              </w:rPr>
            </w:pPr>
            <w:r>
              <w:rPr>
                <w:rFonts w:hint="eastAsia" w:ascii="宋体" w:hAnsi="宋体"/>
                <w:szCs w:val="21"/>
              </w:rPr>
              <w:t>152087</w:t>
            </w:r>
          </w:p>
        </w:tc>
        <w:tc>
          <w:tcPr>
            <w:tcW w:w="1375" w:type="dxa"/>
            <w:vAlign w:val="center"/>
          </w:tcPr>
          <w:p>
            <w:pPr>
              <w:spacing w:line="286" w:lineRule="auto"/>
              <w:jc w:val="center"/>
              <w:rPr>
                <w:rFonts w:ascii="宋体" w:hAnsi="宋体"/>
                <w:szCs w:val="21"/>
              </w:rPr>
            </w:pPr>
            <w:r>
              <w:rPr>
                <w:rFonts w:ascii="宋体" w:hAnsi="宋体"/>
                <w:szCs w:val="21"/>
              </w:rPr>
              <w:t>PHMA7101</w:t>
            </w:r>
            <w:r>
              <w:rPr>
                <w:rFonts w:hint="eastAsia" w:ascii="宋体" w:hAnsi="宋体"/>
                <w:szCs w:val="21"/>
              </w:rPr>
              <w:t>15</w:t>
            </w:r>
          </w:p>
        </w:tc>
        <w:tc>
          <w:tcPr>
            <w:tcW w:w="3082" w:type="dxa"/>
            <w:vAlign w:val="center"/>
          </w:tcPr>
          <w:p>
            <w:pPr>
              <w:spacing w:line="286" w:lineRule="auto"/>
              <w:rPr>
                <w:szCs w:val="21"/>
              </w:rPr>
            </w:pPr>
            <w:r>
              <w:rPr>
                <w:rFonts w:hint="eastAsia"/>
                <w:szCs w:val="21"/>
              </w:rPr>
              <w:t>药理学（</w:t>
            </w:r>
            <w:r>
              <w:rPr>
                <w:szCs w:val="21"/>
              </w:rPr>
              <w:t>2</w:t>
            </w:r>
            <w:r>
              <w:rPr>
                <w:rFonts w:hint="eastAsia"/>
                <w:szCs w:val="21"/>
              </w:rPr>
              <w:t>）</w:t>
            </w:r>
          </w:p>
        </w:tc>
        <w:tc>
          <w:tcPr>
            <w:tcW w:w="616" w:type="dxa"/>
            <w:vAlign w:val="center"/>
          </w:tcPr>
          <w:p>
            <w:pPr>
              <w:spacing w:line="286" w:lineRule="auto"/>
              <w:jc w:val="center"/>
              <w:rPr>
                <w:szCs w:val="21"/>
              </w:rPr>
            </w:pPr>
            <w:r>
              <w:rPr>
                <w:szCs w:val="21"/>
              </w:rPr>
              <w:t>2</w:t>
            </w:r>
          </w:p>
        </w:tc>
        <w:tc>
          <w:tcPr>
            <w:tcW w:w="692" w:type="dxa"/>
            <w:vMerge w:val="continue"/>
            <w:vAlign w:val="center"/>
          </w:tcPr>
          <w:p>
            <w:pPr>
              <w:spacing w:line="28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760" w:type="dxa"/>
            <w:vMerge w:val="continue"/>
            <w:vAlign w:val="center"/>
          </w:tcPr>
          <w:p>
            <w:pPr>
              <w:spacing w:line="286" w:lineRule="auto"/>
              <w:jc w:val="center"/>
              <w:rPr>
                <w:szCs w:val="21"/>
              </w:rPr>
            </w:pPr>
          </w:p>
        </w:tc>
        <w:tc>
          <w:tcPr>
            <w:tcW w:w="1112" w:type="dxa"/>
            <w:vMerge w:val="continue"/>
            <w:vAlign w:val="center"/>
          </w:tcPr>
          <w:p>
            <w:pPr>
              <w:spacing w:line="286" w:lineRule="auto"/>
              <w:jc w:val="center"/>
              <w:rPr>
                <w:szCs w:val="21"/>
              </w:rPr>
            </w:pPr>
          </w:p>
        </w:tc>
        <w:tc>
          <w:tcPr>
            <w:tcW w:w="1148" w:type="dxa"/>
            <w:vAlign w:val="center"/>
          </w:tcPr>
          <w:p>
            <w:pPr>
              <w:spacing w:line="286" w:lineRule="auto"/>
              <w:jc w:val="center"/>
              <w:rPr>
                <w:rFonts w:ascii="宋体" w:hAnsi="宋体"/>
                <w:szCs w:val="21"/>
              </w:rPr>
            </w:pPr>
            <w:r>
              <w:rPr>
                <w:rFonts w:hint="eastAsia" w:ascii="宋体" w:hAnsi="宋体"/>
                <w:szCs w:val="21"/>
              </w:rPr>
              <w:t>152165</w:t>
            </w:r>
          </w:p>
        </w:tc>
        <w:tc>
          <w:tcPr>
            <w:tcW w:w="1375" w:type="dxa"/>
            <w:vAlign w:val="center"/>
          </w:tcPr>
          <w:p>
            <w:pPr>
              <w:spacing w:line="286" w:lineRule="auto"/>
              <w:jc w:val="center"/>
              <w:rPr>
                <w:rFonts w:ascii="宋体" w:hAnsi="宋体"/>
                <w:szCs w:val="21"/>
              </w:rPr>
            </w:pPr>
            <w:r>
              <w:rPr>
                <w:rFonts w:ascii="宋体" w:hAnsi="宋体"/>
                <w:szCs w:val="21"/>
              </w:rPr>
              <w:t>PHMA7107</w:t>
            </w:r>
            <w:r>
              <w:rPr>
                <w:rFonts w:hint="eastAsia" w:ascii="宋体" w:hAnsi="宋体"/>
                <w:szCs w:val="21"/>
              </w:rPr>
              <w:t>15</w:t>
            </w:r>
          </w:p>
        </w:tc>
        <w:tc>
          <w:tcPr>
            <w:tcW w:w="3082" w:type="dxa"/>
            <w:vAlign w:val="center"/>
          </w:tcPr>
          <w:p>
            <w:pPr>
              <w:spacing w:line="286" w:lineRule="auto"/>
              <w:rPr>
                <w:szCs w:val="21"/>
              </w:rPr>
            </w:pPr>
            <w:r>
              <w:rPr>
                <w:rFonts w:hint="eastAsia"/>
                <w:szCs w:val="21"/>
              </w:rPr>
              <w:t>天然药物化学（</w:t>
            </w:r>
            <w:r>
              <w:rPr>
                <w:szCs w:val="21"/>
              </w:rPr>
              <w:t>2</w:t>
            </w:r>
            <w:r>
              <w:rPr>
                <w:rFonts w:hint="eastAsia"/>
                <w:szCs w:val="21"/>
              </w:rPr>
              <w:t>）</w:t>
            </w:r>
          </w:p>
        </w:tc>
        <w:tc>
          <w:tcPr>
            <w:tcW w:w="616" w:type="dxa"/>
            <w:vAlign w:val="center"/>
          </w:tcPr>
          <w:p>
            <w:pPr>
              <w:spacing w:line="286" w:lineRule="auto"/>
              <w:jc w:val="center"/>
              <w:rPr>
                <w:szCs w:val="21"/>
              </w:rPr>
            </w:pPr>
            <w:r>
              <w:rPr>
                <w:szCs w:val="21"/>
              </w:rPr>
              <w:t>2</w:t>
            </w:r>
          </w:p>
        </w:tc>
        <w:tc>
          <w:tcPr>
            <w:tcW w:w="692" w:type="dxa"/>
            <w:vMerge w:val="continue"/>
            <w:vAlign w:val="center"/>
          </w:tcPr>
          <w:p>
            <w:pPr>
              <w:spacing w:line="28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760" w:type="dxa"/>
            <w:vMerge w:val="continue"/>
            <w:vAlign w:val="center"/>
          </w:tcPr>
          <w:p>
            <w:pPr>
              <w:spacing w:line="286" w:lineRule="auto"/>
              <w:jc w:val="center"/>
              <w:rPr>
                <w:szCs w:val="21"/>
              </w:rPr>
            </w:pPr>
          </w:p>
        </w:tc>
        <w:tc>
          <w:tcPr>
            <w:tcW w:w="1112" w:type="dxa"/>
            <w:vMerge w:val="continue"/>
            <w:vAlign w:val="center"/>
          </w:tcPr>
          <w:p>
            <w:pPr>
              <w:spacing w:line="286" w:lineRule="auto"/>
              <w:jc w:val="center"/>
              <w:rPr>
                <w:szCs w:val="21"/>
              </w:rPr>
            </w:pPr>
          </w:p>
        </w:tc>
        <w:tc>
          <w:tcPr>
            <w:tcW w:w="1148" w:type="dxa"/>
            <w:vAlign w:val="center"/>
          </w:tcPr>
          <w:p>
            <w:pPr>
              <w:spacing w:line="286" w:lineRule="auto"/>
              <w:jc w:val="center"/>
              <w:rPr>
                <w:rFonts w:ascii="宋体" w:hAnsi="宋体"/>
                <w:szCs w:val="21"/>
              </w:rPr>
            </w:pPr>
            <w:r>
              <w:rPr>
                <w:rFonts w:hint="eastAsia" w:ascii="宋体" w:hAnsi="宋体"/>
                <w:szCs w:val="21"/>
              </w:rPr>
              <w:t>152166</w:t>
            </w:r>
          </w:p>
        </w:tc>
        <w:tc>
          <w:tcPr>
            <w:tcW w:w="1375" w:type="dxa"/>
            <w:vAlign w:val="center"/>
          </w:tcPr>
          <w:p>
            <w:pPr>
              <w:spacing w:line="286" w:lineRule="auto"/>
              <w:jc w:val="center"/>
              <w:rPr>
                <w:rFonts w:ascii="宋体" w:hAnsi="宋体"/>
                <w:szCs w:val="21"/>
              </w:rPr>
            </w:pPr>
            <w:r>
              <w:rPr>
                <w:rFonts w:ascii="宋体" w:hAnsi="宋体"/>
                <w:szCs w:val="21"/>
              </w:rPr>
              <w:t>PHMA7108</w:t>
            </w:r>
            <w:r>
              <w:rPr>
                <w:rFonts w:hint="eastAsia" w:ascii="宋体" w:hAnsi="宋体"/>
                <w:szCs w:val="21"/>
              </w:rPr>
              <w:t>15</w:t>
            </w:r>
          </w:p>
        </w:tc>
        <w:tc>
          <w:tcPr>
            <w:tcW w:w="3082" w:type="dxa"/>
            <w:vAlign w:val="center"/>
          </w:tcPr>
          <w:p>
            <w:pPr>
              <w:spacing w:line="286" w:lineRule="auto"/>
              <w:rPr>
                <w:szCs w:val="21"/>
              </w:rPr>
            </w:pPr>
            <w:r>
              <w:rPr>
                <w:rFonts w:hint="eastAsia"/>
                <w:szCs w:val="21"/>
              </w:rPr>
              <w:t>药事管理学（</w:t>
            </w:r>
            <w:r>
              <w:rPr>
                <w:szCs w:val="21"/>
              </w:rPr>
              <w:t>2</w:t>
            </w:r>
            <w:r>
              <w:rPr>
                <w:rFonts w:hint="eastAsia"/>
                <w:szCs w:val="21"/>
              </w:rPr>
              <w:t>）</w:t>
            </w:r>
          </w:p>
        </w:tc>
        <w:tc>
          <w:tcPr>
            <w:tcW w:w="616" w:type="dxa"/>
            <w:vAlign w:val="center"/>
          </w:tcPr>
          <w:p>
            <w:pPr>
              <w:spacing w:line="286" w:lineRule="auto"/>
              <w:jc w:val="center"/>
              <w:rPr>
                <w:szCs w:val="21"/>
              </w:rPr>
            </w:pPr>
            <w:r>
              <w:rPr>
                <w:szCs w:val="21"/>
              </w:rPr>
              <w:t>2</w:t>
            </w:r>
          </w:p>
        </w:tc>
        <w:tc>
          <w:tcPr>
            <w:tcW w:w="692" w:type="dxa"/>
            <w:vMerge w:val="continue"/>
            <w:vAlign w:val="center"/>
          </w:tcPr>
          <w:p>
            <w:pPr>
              <w:spacing w:line="28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760" w:type="dxa"/>
            <w:vAlign w:val="center"/>
          </w:tcPr>
          <w:p>
            <w:pPr>
              <w:spacing w:line="286" w:lineRule="auto"/>
              <w:jc w:val="center"/>
              <w:rPr>
                <w:szCs w:val="21"/>
              </w:rPr>
            </w:pPr>
            <w:r>
              <w:rPr>
                <w:rFonts w:hint="eastAsia"/>
                <w:szCs w:val="21"/>
              </w:rPr>
              <w:t>选修课</w:t>
            </w:r>
          </w:p>
        </w:tc>
        <w:tc>
          <w:tcPr>
            <w:tcW w:w="1112" w:type="dxa"/>
            <w:vAlign w:val="center"/>
          </w:tcPr>
          <w:p>
            <w:pPr>
              <w:spacing w:line="286" w:lineRule="auto"/>
              <w:jc w:val="center"/>
              <w:rPr>
                <w:szCs w:val="21"/>
              </w:rPr>
            </w:pPr>
            <w:r>
              <w:rPr>
                <w:rFonts w:hint="eastAsia"/>
                <w:szCs w:val="21"/>
              </w:rPr>
              <w:t>专业</w:t>
            </w:r>
          </w:p>
          <w:p>
            <w:pPr>
              <w:spacing w:line="286" w:lineRule="auto"/>
              <w:jc w:val="center"/>
              <w:rPr>
                <w:szCs w:val="21"/>
              </w:rPr>
            </w:pPr>
            <w:r>
              <w:rPr>
                <w:rFonts w:hint="eastAsia"/>
                <w:szCs w:val="21"/>
              </w:rPr>
              <w:t>选修课</w:t>
            </w:r>
          </w:p>
        </w:tc>
        <w:tc>
          <w:tcPr>
            <w:tcW w:w="1148" w:type="dxa"/>
            <w:vAlign w:val="center"/>
          </w:tcPr>
          <w:p>
            <w:pPr>
              <w:spacing w:line="286" w:lineRule="auto"/>
              <w:jc w:val="center"/>
              <w:rPr>
                <w:rFonts w:ascii="宋体" w:hAnsi="宋体"/>
                <w:szCs w:val="21"/>
              </w:rPr>
            </w:pPr>
          </w:p>
        </w:tc>
        <w:tc>
          <w:tcPr>
            <w:tcW w:w="1375" w:type="dxa"/>
            <w:vAlign w:val="center"/>
          </w:tcPr>
          <w:p>
            <w:pPr>
              <w:spacing w:line="286" w:lineRule="auto"/>
              <w:jc w:val="center"/>
              <w:rPr>
                <w:rFonts w:ascii="宋体" w:hAnsi="宋体"/>
                <w:szCs w:val="21"/>
              </w:rPr>
            </w:pPr>
            <w:r>
              <w:rPr>
                <w:rFonts w:ascii="宋体" w:hAnsi="宋体"/>
                <w:szCs w:val="21"/>
              </w:rPr>
              <w:t>/</w:t>
            </w:r>
          </w:p>
        </w:tc>
        <w:tc>
          <w:tcPr>
            <w:tcW w:w="3082" w:type="dxa"/>
            <w:vAlign w:val="center"/>
          </w:tcPr>
          <w:p>
            <w:pPr>
              <w:spacing w:line="286" w:lineRule="auto"/>
              <w:rPr>
                <w:szCs w:val="21"/>
              </w:rPr>
            </w:pPr>
            <w:r>
              <w:rPr>
                <w:rFonts w:hint="eastAsia"/>
                <w:szCs w:val="21"/>
              </w:rPr>
              <w:t>研究生课程目录上选修</w:t>
            </w:r>
          </w:p>
        </w:tc>
        <w:tc>
          <w:tcPr>
            <w:tcW w:w="616" w:type="dxa"/>
            <w:vAlign w:val="center"/>
          </w:tcPr>
          <w:p>
            <w:pPr>
              <w:spacing w:line="286" w:lineRule="auto"/>
              <w:jc w:val="center"/>
              <w:rPr>
                <w:szCs w:val="21"/>
              </w:rPr>
            </w:pPr>
            <w:r>
              <w:rPr>
                <w:szCs w:val="21"/>
              </w:rPr>
              <w:t>≥</w:t>
            </w:r>
            <w:r>
              <w:rPr>
                <w:rFonts w:hint="eastAsia"/>
                <w:szCs w:val="21"/>
              </w:rPr>
              <w:t>4</w:t>
            </w:r>
          </w:p>
        </w:tc>
        <w:tc>
          <w:tcPr>
            <w:tcW w:w="692" w:type="dxa"/>
            <w:vAlign w:val="center"/>
          </w:tcPr>
          <w:p>
            <w:pPr>
              <w:spacing w:line="286" w:lineRule="auto"/>
              <w:jc w:val="center"/>
              <w:rPr>
                <w:szCs w:val="21"/>
              </w:rPr>
            </w:pPr>
            <w:r>
              <w:rPr>
                <w:szCs w:val="21"/>
              </w:rPr>
              <w:t>≥</w:t>
            </w: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760" w:type="dxa"/>
            <w:vMerge w:val="restart"/>
            <w:vAlign w:val="center"/>
          </w:tcPr>
          <w:p>
            <w:pPr>
              <w:spacing w:line="286" w:lineRule="auto"/>
              <w:jc w:val="center"/>
              <w:rPr>
                <w:szCs w:val="21"/>
              </w:rPr>
            </w:pPr>
            <w:r>
              <w:rPr>
                <w:rFonts w:hint="eastAsia"/>
                <w:szCs w:val="21"/>
              </w:rPr>
              <w:t>必修环节</w:t>
            </w:r>
          </w:p>
        </w:tc>
        <w:tc>
          <w:tcPr>
            <w:tcW w:w="1112" w:type="dxa"/>
            <w:vMerge w:val="restart"/>
            <w:vAlign w:val="center"/>
          </w:tcPr>
          <w:p>
            <w:pPr>
              <w:spacing w:line="286" w:lineRule="auto"/>
              <w:jc w:val="center"/>
              <w:rPr>
                <w:rFonts w:ascii="宋体" w:hAnsi="宋体"/>
                <w:szCs w:val="21"/>
              </w:rPr>
            </w:pPr>
            <w:r>
              <w:rPr>
                <w:rFonts w:ascii="宋体" w:hAnsi="宋体"/>
                <w:szCs w:val="21"/>
              </w:rPr>
              <w:t>/</w:t>
            </w:r>
          </w:p>
        </w:tc>
        <w:tc>
          <w:tcPr>
            <w:tcW w:w="1148" w:type="dxa"/>
            <w:vAlign w:val="center"/>
          </w:tcPr>
          <w:p>
            <w:pPr>
              <w:spacing w:line="286" w:lineRule="auto"/>
              <w:jc w:val="center"/>
              <w:rPr>
                <w:rFonts w:ascii="宋体" w:hAnsi="宋体"/>
                <w:szCs w:val="21"/>
              </w:rPr>
            </w:pPr>
            <w:r>
              <w:rPr>
                <w:rFonts w:hint="eastAsia" w:ascii="宋体" w:hAnsi="宋体"/>
                <w:szCs w:val="21"/>
              </w:rPr>
              <w:t>001997</w:t>
            </w:r>
          </w:p>
        </w:tc>
        <w:tc>
          <w:tcPr>
            <w:tcW w:w="1375" w:type="dxa"/>
            <w:vAlign w:val="center"/>
          </w:tcPr>
          <w:p>
            <w:pPr>
              <w:spacing w:line="286" w:lineRule="auto"/>
              <w:jc w:val="center"/>
              <w:rPr>
                <w:rFonts w:ascii="宋体" w:hAnsi="宋体"/>
                <w:szCs w:val="21"/>
              </w:rPr>
            </w:pPr>
            <w:r>
              <w:rPr>
                <w:rFonts w:ascii="宋体" w:hAnsi="宋体"/>
                <w:szCs w:val="21"/>
              </w:rPr>
              <w:t>BXHJ6003</w:t>
            </w:r>
            <w:r>
              <w:rPr>
                <w:rFonts w:hint="eastAsia" w:ascii="宋体" w:hAnsi="宋体"/>
                <w:szCs w:val="21"/>
              </w:rPr>
              <w:t>99</w:t>
            </w:r>
          </w:p>
        </w:tc>
        <w:tc>
          <w:tcPr>
            <w:tcW w:w="3082" w:type="dxa"/>
            <w:vAlign w:val="center"/>
          </w:tcPr>
          <w:p>
            <w:pPr>
              <w:spacing w:line="286" w:lineRule="auto"/>
              <w:rPr>
                <w:szCs w:val="21"/>
              </w:rPr>
            </w:pPr>
            <w:r>
              <w:rPr>
                <w:rFonts w:hint="eastAsia"/>
                <w:szCs w:val="21"/>
              </w:rPr>
              <w:t>学术活动（讲座）硕</w:t>
            </w:r>
          </w:p>
        </w:tc>
        <w:tc>
          <w:tcPr>
            <w:tcW w:w="616" w:type="dxa"/>
            <w:vAlign w:val="center"/>
          </w:tcPr>
          <w:p>
            <w:pPr>
              <w:spacing w:line="286" w:lineRule="auto"/>
              <w:jc w:val="center"/>
              <w:rPr>
                <w:szCs w:val="21"/>
              </w:rPr>
            </w:pPr>
            <w:r>
              <w:rPr>
                <w:szCs w:val="21"/>
              </w:rPr>
              <w:t>1</w:t>
            </w:r>
          </w:p>
        </w:tc>
        <w:tc>
          <w:tcPr>
            <w:tcW w:w="692" w:type="dxa"/>
            <w:vMerge w:val="restart"/>
            <w:vAlign w:val="center"/>
          </w:tcPr>
          <w:p>
            <w:pPr>
              <w:spacing w:line="286" w:lineRule="auto"/>
              <w:jc w:val="center"/>
              <w:rPr>
                <w:szCs w:val="21"/>
              </w:rPr>
            </w:pPr>
            <w:r>
              <w:rPr>
                <w:rFonts w:hint="eastAsia"/>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760" w:type="dxa"/>
            <w:vMerge w:val="continue"/>
            <w:vAlign w:val="center"/>
          </w:tcPr>
          <w:p>
            <w:pPr>
              <w:spacing w:line="286" w:lineRule="auto"/>
              <w:jc w:val="center"/>
              <w:rPr>
                <w:szCs w:val="21"/>
              </w:rPr>
            </w:pPr>
          </w:p>
        </w:tc>
        <w:tc>
          <w:tcPr>
            <w:tcW w:w="1112" w:type="dxa"/>
            <w:vMerge w:val="continue"/>
            <w:vAlign w:val="center"/>
          </w:tcPr>
          <w:p>
            <w:pPr>
              <w:spacing w:line="286" w:lineRule="auto"/>
              <w:jc w:val="center"/>
              <w:rPr>
                <w:szCs w:val="21"/>
              </w:rPr>
            </w:pPr>
          </w:p>
        </w:tc>
        <w:tc>
          <w:tcPr>
            <w:tcW w:w="1148" w:type="dxa"/>
            <w:vAlign w:val="center"/>
          </w:tcPr>
          <w:p>
            <w:pPr>
              <w:spacing w:line="286" w:lineRule="auto"/>
              <w:jc w:val="center"/>
              <w:rPr>
                <w:rFonts w:ascii="宋体" w:hAnsi="宋体"/>
                <w:szCs w:val="21"/>
              </w:rPr>
            </w:pPr>
            <w:r>
              <w:rPr>
                <w:rFonts w:hint="eastAsia" w:ascii="宋体" w:hAnsi="宋体"/>
                <w:szCs w:val="21"/>
              </w:rPr>
              <w:t>001983</w:t>
            </w:r>
          </w:p>
        </w:tc>
        <w:tc>
          <w:tcPr>
            <w:tcW w:w="1375" w:type="dxa"/>
            <w:vAlign w:val="center"/>
          </w:tcPr>
          <w:p>
            <w:pPr>
              <w:spacing w:line="286" w:lineRule="auto"/>
              <w:jc w:val="center"/>
              <w:rPr>
                <w:rFonts w:ascii="宋体" w:hAnsi="宋体"/>
                <w:szCs w:val="21"/>
              </w:rPr>
            </w:pPr>
            <w:r>
              <w:rPr>
                <w:rFonts w:ascii="宋体" w:hAnsi="宋体"/>
                <w:szCs w:val="21"/>
              </w:rPr>
              <w:t>BXHJ6007</w:t>
            </w:r>
            <w:r>
              <w:rPr>
                <w:rFonts w:hint="eastAsia" w:ascii="宋体" w:hAnsi="宋体"/>
                <w:szCs w:val="21"/>
              </w:rPr>
              <w:t>99</w:t>
            </w:r>
          </w:p>
        </w:tc>
        <w:tc>
          <w:tcPr>
            <w:tcW w:w="3082" w:type="dxa"/>
            <w:vAlign w:val="center"/>
          </w:tcPr>
          <w:p>
            <w:pPr>
              <w:spacing w:line="286" w:lineRule="auto"/>
              <w:rPr>
                <w:szCs w:val="21"/>
              </w:rPr>
            </w:pPr>
            <w:r>
              <w:rPr>
                <w:rFonts w:hint="eastAsia"/>
                <w:szCs w:val="21"/>
              </w:rPr>
              <w:t>中期考核（硕）</w:t>
            </w:r>
          </w:p>
        </w:tc>
        <w:tc>
          <w:tcPr>
            <w:tcW w:w="616" w:type="dxa"/>
            <w:vAlign w:val="center"/>
          </w:tcPr>
          <w:p>
            <w:pPr>
              <w:spacing w:line="286" w:lineRule="auto"/>
              <w:jc w:val="center"/>
              <w:rPr>
                <w:szCs w:val="21"/>
              </w:rPr>
            </w:pPr>
            <w:r>
              <w:rPr>
                <w:szCs w:val="21"/>
              </w:rPr>
              <w:t>3</w:t>
            </w:r>
          </w:p>
        </w:tc>
        <w:tc>
          <w:tcPr>
            <w:tcW w:w="692" w:type="dxa"/>
            <w:vMerge w:val="continue"/>
            <w:vAlign w:val="center"/>
          </w:tcPr>
          <w:p>
            <w:pPr>
              <w:spacing w:line="28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760" w:type="dxa"/>
            <w:vMerge w:val="continue"/>
            <w:vAlign w:val="center"/>
          </w:tcPr>
          <w:p>
            <w:pPr>
              <w:spacing w:line="286" w:lineRule="auto"/>
              <w:jc w:val="center"/>
              <w:rPr>
                <w:szCs w:val="21"/>
              </w:rPr>
            </w:pPr>
          </w:p>
        </w:tc>
        <w:tc>
          <w:tcPr>
            <w:tcW w:w="1112" w:type="dxa"/>
            <w:vMerge w:val="continue"/>
            <w:vAlign w:val="center"/>
          </w:tcPr>
          <w:p>
            <w:pPr>
              <w:spacing w:line="286" w:lineRule="auto"/>
              <w:jc w:val="center"/>
              <w:rPr>
                <w:szCs w:val="21"/>
              </w:rPr>
            </w:pPr>
          </w:p>
        </w:tc>
        <w:tc>
          <w:tcPr>
            <w:tcW w:w="1148" w:type="dxa"/>
            <w:vAlign w:val="center"/>
          </w:tcPr>
          <w:p>
            <w:pPr>
              <w:spacing w:line="286" w:lineRule="auto"/>
              <w:jc w:val="center"/>
              <w:rPr>
                <w:rFonts w:ascii="宋体" w:hAnsi="宋体"/>
                <w:szCs w:val="21"/>
              </w:rPr>
            </w:pPr>
            <w:r>
              <w:rPr>
                <w:rFonts w:hint="eastAsia" w:ascii="宋体" w:hAnsi="宋体"/>
                <w:szCs w:val="21"/>
              </w:rPr>
              <w:t>001981</w:t>
            </w:r>
          </w:p>
        </w:tc>
        <w:tc>
          <w:tcPr>
            <w:tcW w:w="1375" w:type="dxa"/>
            <w:vAlign w:val="center"/>
          </w:tcPr>
          <w:p>
            <w:pPr>
              <w:spacing w:line="286" w:lineRule="auto"/>
              <w:jc w:val="center"/>
              <w:rPr>
                <w:rFonts w:ascii="宋体" w:hAnsi="宋体"/>
                <w:szCs w:val="21"/>
              </w:rPr>
            </w:pPr>
            <w:r>
              <w:rPr>
                <w:rFonts w:ascii="宋体" w:hAnsi="宋体"/>
                <w:szCs w:val="21"/>
              </w:rPr>
              <w:t>BXHJ6009</w:t>
            </w:r>
            <w:r>
              <w:rPr>
                <w:rFonts w:hint="eastAsia" w:ascii="宋体" w:hAnsi="宋体"/>
                <w:szCs w:val="21"/>
              </w:rPr>
              <w:t>99</w:t>
            </w:r>
          </w:p>
        </w:tc>
        <w:tc>
          <w:tcPr>
            <w:tcW w:w="3082" w:type="dxa"/>
            <w:vAlign w:val="center"/>
          </w:tcPr>
          <w:p>
            <w:pPr>
              <w:tabs>
                <w:tab w:val="left" w:pos="360"/>
              </w:tabs>
              <w:spacing w:line="286" w:lineRule="auto"/>
              <w:rPr>
                <w:szCs w:val="21"/>
              </w:rPr>
            </w:pPr>
            <w:r>
              <w:rPr>
                <w:rFonts w:hint="eastAsia"/>
                <w:szCs w:val="21"/>
              </w:rPr>
              <w:t>专业实践</w:t>
            </w:r>
          </w:p>
        </w:tc>
        <w:tc>
          <w:tcPr>
            <w:tcW w:w="616" w:type="dxa"/>
            <w:vAlign w:val="center"/>
          </w:tcPr>
          <w:p>
            <w:pPr>
              <w:spacing w:line="286" w:lineRule="auto"/>
              <w:ind w:right="-42" w:rightChars="-20"/>
              <w:jc w:val="center"/>
              <w:rPr>
                <w:szCs w:val="21"/>
              </w:rPr>
            </w:pPr>
            <w:r>
              <w:rPr>
                <w:szCs w:val="21"/>
              </w:rPr>
              <w:t>8</w:t>
            </w:r>
          </w:p>
        </w:tc>
        <w:tc>
          <w:tcPr>
            <w:tcW w:w="692" w:type="dxa"/>
            <w:vMerge w:val="continue"/>
            <w:vAlign w:val="center"/>
          </w:tcPr>
          <w:p>
            <w:pPr>
              <w:spacing w:line="28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760" w:type="dxa"/>
            <w:vMerge w:val="continue"/>
            <w:vAlign w:val="center"/>
          </w:tcPr>
          <w:p>
            <w:pPr>
              <w:spacing w:line="286" w:lineRule="auto"/>
              <w:jc w:val="center"/>
              <w:rPr>
                <w:szCs w:val="21"/>
              </w:rPr>
            </w:pPr>
          </w:p>
        </w:tc>
        <w:tc>
          <w:tcPr>
            <w:tcW w:w="1112" w:type="dxa"/>
            <w:vMerge w:val="continue"/>
            <w:vAlign w:val="center"/>
          </w:tcPr>
          <w:p>
            <w:pPr>
              <w:spacing w:line="286" w:lineRule="auto"/>
              <w:jc w:val="center"/>
              <w:rPr>
                <w:szCs w:val="21"/>
              </w:rPr>
            </w:pPr>
          </w:p>
        </w:tc>
        <w:tc>
          <w:tcPr>
            <w:tcW w:w="1148" w:type="dxa"/>
          </w:tcPr>
          <w:p>
            <w:pPr>
              <w:spacing w:line="286" w:lineRule="auto"/>
              <w:jc w:val="center"/>
              <w:rPr>
                <w:rFonts w:hint="eastAsia" w:ascii="宋体" w:hAnsi="宋体"/>
                <w:szCs w:val="21"/>
              </w:rPr>
            </w:pPr>
            <w:r>
              <w:rPr>
                <w:rFonts w:hint="eastAsia" w:ascii="宋体" w:hAnsi="宋体"/>
                <w:szCs w:val="21"/>
              </w:rPr>
              <w:t>001954</w:t>
            </w:r>
          </w:p>
        </w:tc>
        <w:tc>
          <w:tcPr>
            <w:tcW w:w="1375" w:type="dxa"/>
            <w:vAlign w:val="center"/>
          </w:tcPr>
          <w:p>
            <w:pPr>
              <w:spacing w:line="286" w:lineRule="auto"/>
              <w:jc w:val="center"/>
              <w:rPr>
                <w:rFonts w:ascii="宋体" w:hAnsi="宋体"/>
                <w:szCs w:val="21"/>
              </w:rPr>
            </w:pPr>
            <w:r>
              <w:rPr>
                <w:rFonts w:hint="eastAsia" w:ascii="宋体" w:hAnsi="宋体"/>
                <w:szCs w:val="21"/>
              </w:rPr>
              <w:t>B</w:t>
            </w:r>
            <w:r>
              <w:rPr>
                <w:rFonts w:ascii="宋体" w:hAnsi="宋体"/>
                <w:szCs w:val="21"/>
              </w:rPr>
              <w:t>XHJ602499</w:t>
            </w:r>
          </w:p>
        </w:tc>
        <w:tc>
          <w:tcPr>
            <w:tcW w:w="3082" w:type="dxa"/>
            <w:vAlign w:val="center"/>
          </w:tcPr>
          <w:p>
            <w:pPr>
              <w:tabs>
                <w:tab w:val="left" w:pos="360"/>
              </w:tabs>
              <w:spacing w:line="286" w:lineRule="auto"/>
              <w:rPr>
                <w:rFonts w:hint="eastAsia"/>
                <w:szCs w:val="21"/>
              </w:rPr>
            </w:pPr>
            <w:r>
              <w:rPr>
                <w:rFonts w:hint="eastAsia"/>
                <w:kern w:val="0"/>
                <w:szCs w:val="21"/>
              </w:rPr>
              <w:t>劳动教育</w:t>
            </w:r>
          </w:p>
        </w:tc>
        <w:tc>
          <w:tcPr>
            <w:tcW w:w="616" w:type="dxa"/>
            <w:vAlign w:val="center"/>
          </w:tcPr>
          <w:p>
            <w:pPr>
              <w:spacing w:line="286" w:lineRule="auto"/>
              <w:ind w:right="-42" w:rightChars="-20"/>
              <w:jc w:val="center"/>
              <w:rPr>
                <w:szCs w:val="21"/>
              </w:rPr>
            </w:pPr>
            <w:r>
              <w:rPr>
                <w:rFonts w:hint="eastAsia"/>
                <w:kern w:val="0"/>
                <w:szCs w:val="21"/>
              </w:rPr>
              <w:t>0</w:t>
            </w:r>
          </w:p>
        </w:tc>
        <w:tc>
          <w:tcPr>
            <w:tcW w:w="692" w:type="dxa"/>
            <w:vMerge w:val="continue"/>
            <w:vAlign w:val="center"/>
          </w:tcPr>
          <w:p>
            <w:pPr>
              <w:spacing w:line="28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760" w:type="dxa"/>
            <w:vMerge w:val="continue"/>
            <w:vAlign w:val="center"/>
          </w:tcPr>
          <w:p>
            <w:pPr>
              <w:spacing w:line="286" w:lineRule="auto"/>
              <w:jc w:val="center"/>
              <w:rPr>
                <w:szCs w:val="21"/>
              </w:rPr>
            </w:pPr>
          </w:p>
        </w:tc>
        <w:tc>
          <w:tcPr>
            <w:tcW w:w="1112" w:type="dxa"/>
            <w:vMerge w:val="continue"/>
            <w:vAlign w:val="center"/>
          </w:tcPr>
          <w:p>
            <w:pPr>
              <w:spacing w:line="286" w:lineRule="auto"/>
              <w:jc w:val="center"/>
              <w:rPr>
                <w:szCs w:val="21"/>
              </w:rPr>
            </w:pPr>
          </w:p>
        </w:tc>
        <w:tc>
          <w:tcPr>
            <w:tcW w:w="1148" w:type="dxa"/>
          </w:tcPr>
          <w:p>
            <w:pPr>
              <w:spacing w:line="286" w:lineRule="auto"/>
              <w:jc w:val="center"/>
              <w:rPr>
                <w:rFonts w:hint="eastAsia" w:ascii="宋体" w:hAnsi="宋体"/>
                <w:szCs w:val="21"/>
              </w:rPr>
            </w:pPr>
            <w:r>
              <w:rPr>
                <w:rFonts w:hint="eastAsia" w:ascii="宋体" w:hAnsi="宋体"/>
                <w:szCs w:val="21"/>
              </w:rPr>
              <w:t>001955</w:t>
            </w:r>
          </w:p>
        </w:tc>
        <w:tc>
          <w:tcPr>
            <w:tcW w:w="1375" w:type="dxa"/>
            <w:vAlign w:val="center"/>
          </w:tcPr>
          <w:p>
            <w:pPr>
              <w:spacing w:line="286" w:lineRule="auto"/>
              <w:jc w:val="center"/>
              <w:rPr>
                <w:rFonts w:hint="eastAsia" w:ascii="宋体" w:hAnsi="宋体"/>
                <w:szCs w:val="21"/>
              </w:rPr>
            </w:pPr>
            <w:r>
              <w:rPr>
                <w:rFonts w:hint="eastAsia" w:ascii="宋体" w:hAnsi="宋体"/>
                <w:szCs w:val="21"/>
              </w:rPr>
              <w:t>B</w:t>
            </w:r>
            <w:r>
              <w:rPr>
                <w:rFonts w:ascii="宋体" w:hAnsi="宋体"/>
                <w:szCs w:val="21"/>
              </w:rPr>
              <w:t>XHJ602399</w:t>
            </w:r>
          </w:p>
        </w:tc>
        <w:tc>
          <w:tcPr>
            <w:tcW w:w="3082" w:type="dxa"/>
            <w:vAlign w:val="center"/>
          </w:tcPr>
          <w:p>
            <w:pPr>
              <w:tabs>
                <w:tab w:val="left" w:pos="360"/>
              </w:tabs>
              <w:spacing w:line="286" w:lineRule="auto"/>
              <w:rPr>
                <w:rFonts w:hint="eastAsia"/>
                <w:kern w:val="0"/>
                <w:szCs w:val="21"/>
              </w:rPr>
            </w:pPr>
            <w:r>
              <w:rPr>
                <w:rFonts w:hint="eastAsia"/>
                <w:kern w:val="0"/>
                <w:szCs w:val="21"/>
              </w:rPr>
              <w:t>美育</w:t>
            </w:r>
          </w:p>
        </w:tc>
        <w:tc>
          <w:tcPr>
            <w:tcW w:w="616" w:type="dxa"/>
            <w:vAlign w:val="center"/>
          </w:tcPr>
          <w:p>
            <w:pPr>
              <w:spacing w:line="286" w:lineRule="auto"/>
              <w:ind w:right="-42" w:rightChars="-20"/>
              <w:jc w:val="center"/>
              <w:rPr>
                <w:rFonts w:hint="eastAsia"/>
                <w:kern w:val="0"/>
                <w:szCs w:val="21"/>
              </w:rPr>
            </w:pPr>
            <w:r>
              <w:rPr>
                <w:rFonts w:hint="eastAsia"/>
                <w:kern w:val="0"/>
                <w:szCs w:val="21"/>
              </w:rPr>
              <w:t>0</w:t>
            </w:r>
          </w:p>
        </w:tc>
        <w:tc>
          <w:tcPr>
            <w:tcW w:w="692" w:type="dxa"/>
            <w:vMerge w:val="continue"/>
            <w:vAlign w:val="center"/>
          </w:tcPr>
          <w:p>
            <w:pPr>
              <w:spacing w:line="28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right"/>
        </w:trPr>
        <w:tc>
          <w:tcPr>
            <w:tcW w:w="760" w:type="dxa"/>
            <w:vMerge w:val="continue"/>
            <w:vAlign w:val="center"/>
          </w:tcPr>
          <w:p>
            <w:pPr>
              <w:spacing w:line="286" w:lineRule="auto"/>
              <w:jc w:val="center"/>
              <w:rPr>
                <w:szCs w:val="21"/>
              </w:rPr>
            </w:pPr>
          </w:p>
        </w:tc>
        <w:tc>
          <w:tcPr>
            <w:tcW w:w="1112" w:type="dxa"/>
            <w:vMerge w:val="continue"/>
            <w:vAlign w:val="center"/>
          </w:tcPr>
          <w:p>
            <w:pPr>
              <w:spacing w:line="286" w:lineRule="auto"/>
              <w:jc w:val="center"/>
              <w:rPr>
                <w:szCs w:val="21"/>
              </w:rPr>
            </w:pPr>
          </w:p>
        </w:tc>
        <w:tc>
          <w:tcPr>
            <w:tcW w:w="1148" w:type="dxa"/>
          </w:tcPr>
          <w:p>
            <w:pPr>
              <w:spacing w:line="286" w:lineRule="auto"/>
              <w:jc w:val="center"/>
              <w:rPr>
                <w:rFonts w:hint="eastAsia" w:ascii="宋体" w:hAnsi="宋体"/>
                <w:szCs w:val="21"/>
              </w:rPr>
            </w:pPr>
            <w:r>
              <w:rPr>
                <w:rFonts w:hint="eastAsia" w:ascii="宋体" w:hAnsi="宋体"/>
                <w:szCs w:val="21"/>
              </w:rPr>
              <w:t>001956</w:t>
            </w:r>
          </w:p>
        </w:tc>
        <w:tc>
          <w:tcPr>
            <w:tcW w:w="1375" w:type="dxa"/>
            <w:vAlign w:val="center"/>
          </w:tcPr>
          <w:p>
            <w:pPr>
              <w:spacing w:line="286" w:lineRule="auto"/>
              <w:jc w:val="center"/>
              <w:rPr>
                <w:rFonts w:hint="eastAsia" w:ascii="宋体" w:hAnsi="宋体"/>
                <w:szCs w:val="21"/>
              </w:rPr>
            </w:pPr>
            <w:r>
              <w:rPr>
                <w:rFonts w:hint="eastAsia" w:ascii="宋体" w:hAnsi="宋体"/>
                <w:szCs w:val="21"/>
              </w:rPr>
              <w:t>B</w:t>
            </w:r>
            <w:r>
              <w:rPr>
                <w:rFonts w:ascii="宋体" w:hAnsi="宋体"/>
                <w:szCs w:val="21"/>
              </w:rPr>
              <w:t>XHJ602299</w:t>
            </w:r>
          </w:p>
        </w:tc>
        <w:tc>
          <w:tcPr>
            <w:tcW w:w="3082" w:type="dxa"/>
            <w:vAlign w:val="center"/>
          </w:tcPr>
          <w:p>
            <w:pPr>
              <w:tabs>
                <w:tab w:val="left" w:pos="360"/>
              </w:tabs>
              <w:spacing w:line="286" w:lineRule="auto"/>
              <w:rPr>
                <w:rFonts w:hint="eastAsia"/>
                <w:kern w:val="0"/>
                <w:szCs w:val="21"/>
              </w:rPr>
            </w:pPr>
            <w:r>
              <w:rPr>
                <w:rFonts w:hint="eastAsia"/>
                <w:kern w:val="0"/>
                <w:szCs w:val="21"/>
              </w:rPr>
              <w:t>体育</w:t>
            </w:r>
          </w:p>
        </w:tc>
        <w:tc>
          <w:tcPr>
            <w:tcW w:w="616" w:type="dxa"/>
            <w:vAlign w:val="center"/>
          </w:tcPr>
          <w:p>
            <w:pPr>
              <w:spacing w:line="286" w:lineRule="auto"/>
              <w:ind w:right="-42" w:rightChars="-20"/>
              <w:jc w:val="center"/>
              <w:rPr>
                <w:rFonts w:hint="eastAsia"/>
                <w:kern w:val="0"/>
                <w:szCs w:val="21"/>
              </w:rPr>
            </w:pPr>
            <w:r>
              <w:rPr>
                <w:rFonts w:hint="eastAsia"/>
                <w:kern w:val="0"/>
                <w:szCs w:val="21"/>
              </w:rPr>
              <w:t>0</w:t>
            </w:r>
          </w:p>
        </w:tc>
        <w:tc>
          <w:tcPr>
            <w:tcW w:w="692" w:type="dxa"/>
            <w:vMerge w:val="continue"/>
            <w:vAlign w:val="center"/>
          </w:tcPr>
          <w:p>
            <w:pPr>
              <w:spacing w:line="286" w:lineRule="auto"/>
              <w:jc w:val="center"/>
              <w:rPr>
                <w:szCs w:val="21"/>
              </w:rPr>
            </w:pPr>
          </w:p>
        </w:tc>
      </w:tr>
    </w:tbl>
    <w:p>
      <w:pPr>
        <w:keepNext w:val="0"/>
        <w:keepLines w:val="0"/>
        <w:pageBreakBefore w:val="0"/>
        <w:widowControl w:val="0"/>
        <w:kinsoku/>
        <w:wordWrap/>
        <w:overflowPunct/>
        <w:topLinePunct w:val="0"/>
        <w:autoSpaceDE/>
        <w:autoSpaceDN/>
        <w:bidi w:val="0"/>
        <w:spacing w:before="192" w:beforeLines="80" w:after="120" w:afterLines="50" w:line="300" w:lineRule="auto"/>
        <w:textAlignment w:val="auto"/>
        <w:rPr>
          <w:rFonts w:eastAsia="黑体"/>
          <w:bCs/>
          <w:sz w:val="24"/>
        </w:rPr>
      </w:pPr>
      <w:r>
        <w:rPr>
          <w:rFonts w:hint="eastAsia" w:eastAsia="黑体"/>
          <w:bCs/>
          <w:sz w:val="24"/>
        </w:rPr>
        <w:t>六、专业实践</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szCs w:val="21"/>
        </w:rPr>
      </w:pPr>
      <w:r>
        <w:rPr>
          <w:rFonts w:hint="eastAsia"/>
          <w:szCs w:val="21"/>
        </w:rPr>
        <w:t>专业实践与课题研究是重要的教学环节。研究生在学期间，必须保证不少于</w:t>
      </w:r>
      <w:r>
        <w:rPr>
          <w:szCs w:val="21"/>
        </w:rPr>
        <w:t>6</w:t>
      </w:r>
      <w:r>
        <w:rPr>
          <w:rFonts w:hint="eastAsia"/>
          <w:szCs w:val="21"/>
        </w:rPr>
        <w:t>个月的专业实践。专业实践可以在校内完成，也可以在校外或国外（境外）完成。专业实践采取不同方式进行，各专业领域应该根据自身专业特点及实习条件积极探索各自的专业实践方式。可采取集中实践与分段实践相结合的方式；也可采取企业实践与参与导师应用型课题实践相结合的方式，鼓励以企业实习为主的专业实践。在企业实习结束后或参加指导教师所指定的应用课题实践等专业实践后，学生提交由实习单位或指导教师签署意见的书面实习报告，并经学院审核通过后可获得相应学分。</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textAlignment w:val="auto"/>
        <w:rPr>
          <w:rFonts w:hint="eastAsia"/>
          <w:b/>
          <w:bCs/>
          <w:szCs w:val="21"/>
        </w:rPr>
      </w:pPr>
      <w:r>
        <w:rPr>
          <w:rFonts w:hint="eastAsia"/>
          <w:b/>
          <w:bCs/>
          <w:szCs w:val="21"/>
        </w:rPr>
        <w:t>七、体育、美育、劳动教育</w:t>
      </w:r>
    </w:p>
    <w:p>
      <w:pPr>
        <w:pStyle w:val="11"/>
        <w:keepNext w:val="0"/>
        <w:keepLines w:val="0"/>
        <w:pageBreakBefore w:val="0"/>
        <w:widowControl w:val="0"/>
        <w:kinsoku/>
        <w:wordWrap/>
        <w:overflowPunct/>
        <w:topLinePunct w:val="0"/>
        <w:autoSpaceDE/>
        <w:autoSpaceDN/>
        <w:bidi w:val="0"/>
        <w:spacing w:line="300" w:lineRule="auto"/>
        <w:textAlignment w:val="auto"/>
        <w:rPr>
          <w:rFonts w:hint="eastAsia"/>
          <w:sz w:val="21"/>
          <w:szCs w:val="21"/>
        </w:rPr>
      </w:pPr>
      <w:r>
        <w:rPr>
          <w:rFonts w:hint="eastAsia"/>
          <w:sz w:val="21"/>
          <w:szCs w:val="21"/>
        </w:rPr>
        <w:t>研究生依据当年的体育、美育、劳动教育研修指南，结合个人兴趣爱好和培养计划安排，制定个人体育、美育、劳动教育环节研修计划并开展研修，由体育、美育、劳动教育牵头单位对环节是否“通过”给予认定。</w:t>
      </w:r>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黑体" w:eastAsia="黑体"/>
          <w:sz w:val="24"/>
          <w:szCs w:val="24"/>
        </w:rPr>
      </w:pPr>
      <w:r>
        <w:rPr>
          <w:rFonts w:hint="eastAsia" w:ascii="黑体" w:hAnsi="黑体" w:eastAsia="黑体"/>
          <w:sz w:val="24"/>
          <w:szCs w:val="24"/>
        </w:rPr>
        <w:t>八、学位论文</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宋体" w:hAnsi="Courier New"/>
          <w:szCs w:val="21"/>
        </w:rPr>
      </w:pPr>
      <w:r>
        <w:rPr>
          <w:rFonts w:hint="eastAsia" w:ascii="宋体" w:hAnsi="Courier New"/>
          <w:szCs w:val="21"/>
        </w:rPr>
        <w:t>学位论文应在导师的指导下，由硕士生独立完成。学位论文应科学求实、文字简洁、分析严谨，理论推导和计算正确无误。学位论文的形式可以是研究报告、调研报告、设计方案、产品开发、案（病）例分析、项目管理方案、技术改革方案等。学位论文的内容要紧密结合药学及相关领域科技转化、注册与申报、生产与技改、推广与流通、药学服务及药品监管等实际问题。可以是针对药学实践领域具有一定经济和社会效益的专题研究。学位论文应实行评审和答辩，硕士生在答辩时应能准确地回答与论文相关的问题。</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宋体" w:hAnsi="Courier New"/>
          <w:szCs w:val="21"/>
        </w:rPr>
      </w:pPr>
      <w:r>
        <w:rPr>
          <w:rFonts w:hint="eastAsia" w:ascii="宋体" w:hAnsi="Courier New"/>
          <w:szCs w:val="21"/>
        </w:rPr>
        <w:t>论文答辩按照《西安交通大学关于研究生学位申请的若干规定》进行。</w:t>
      </w:r>
    </w:p>
    <w:p>
      <w:pPr>
        <w:keepNext/>
        <w:keepLines/>
        <w:spacing w:before="340" w:after="340" w:line="286" w:lineRule="auto"/>
        <w:jc w:val="center"/>
        <w:outlineLvl w:val="1"/>
        <w:rPr>
          <w:rFonts w:ascii="黑体" w:hAnsi="黑体" w:eastAsia="黑体" w:cs="宋体"/>
          <w:bCs/>
          <w:sz w:val="28"/>
        </w:rPr>
      </w:pPr>
      <w:bookmarkStart w:id="586" w:name="_Toc110427526"/>
      <w:r>
        <w:rPr>
          <w:rFonts w:hAnsi="Arial" w:eastAsia="黑体"/>
          <w:bCs/>
          <w:sz w:val="28"/>
          <w:szCs w:val="28"/>
        </w:rPr>
        <w:t>（</w:t>
      </w:r>
      <w:r>
        <w:rPr>
          <w:rFonts w:hint="eastAsia" w:hAnsi="Arial" w:eastAsia="黑体"/>
          <w:bCs/>
          <w:sz w:val="28"/>
          <w:szCs w:val="28"/>
        </w:rPr>
        <w:t>十一</w:t>
      </w:r>
      <w:r>
        <w:rPr>
          <w:rFonts w:hAnsi="Arial" w:eastAsia="黑体"/>
          <w:bCs/>
          <w:sz w:val="28"/>
          <w:szCs w:val="28"/>
        </w:rPr>
        <w:t>）</w:t>
      </w:r>
      <w:r>
        <w:rPr>
          <w:rFonts w:hint="eastAsia" w:ascii="黑体" w:hAnsi="黑体" w:eastAsia="黑体" w:cs="宋体"/>
          <w:bCs/>
          <w:sz w:val="28"/>
        </w:rPr>
        <w:t>生物与医药硕士（08</w:t>
      </w:r>
      <w:r>
        <w:rPr>
          <w:rFonts w:ascii="黑体" w:hAnsi="黑体" w:eastAsia="黑体" w:cs="宋体"/>
          <w:bCs/>
          <w:sz w:val="28"/>
        </w:rPr>
        <w:t>60</w:t>
      </w:r>
      <w:r>
        <w:rPr>
          <w:rFonts w:hint="eastAsia" w:ascii="黑体" w:hAnsi="黑体" w:eastAsia="黑体" w:cs="宋体"/>
          <w:bCs/>
          <w:sz w:val="28"/>
        </w:rPr>
        <w:t>）制药工程项目培养方案</w:t>
      </w:r>
      <w:bookmarkEnd w:id="586"/>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auto"/>
        <w:textAlignment w:val="auto"/>
        <w:rPr>
          <w:rFonts w:ascii="黑体" w:hAnsi="宋体" w:eastAsia="黑体"/>
          <w:sz w:val="24"/>
        </w:rPr>
      </w:pPr>
      <w:r>
        <w:rPr>
          <w:rFonts w:hint="eastAsia" w:ascii="黑体" w:hAnsi="宋体" w:eastAsia="黑体"/>
          <w:sz w:val="24"/>
        </w:rPr>
        <w:t>一、培养目标</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contextualSpacing/>
        <w:textAlignment w:val="auto"/>
        <w:rPr>
          <w:rFonts w:ascii="宋体" w:hAnsi="宋体"/>
          <w:szCs w:val="21"/>
        </w:rPr>
      </w:pPr>
      <w:r>
        <w:rPr>
          <w:rFonts w:hint="eastAsia" w:ascii="宋体" w:hAnsi="宋体"/>
          <w:szCs w:val="21"/>
        </w:rPr>
        <w:t>生物与医药制药工程项目专业学位研究生教育旨在培养适应社会主义市场经济需要的高素质、高层次制药工程方面应用人才。通过正规、系统的培养环节培养既有制药工程领域的坚实的基础知识，又有广博的生物学、化学、药学的专业知识，掌握现代化学制药工程、中药制药工程、生物制药工程</w:t>
      </w:r>
      <w:r>
        <w:rPr>
          <w:rFonts w:ascii="宋体" w:hAnsi="宋体"/>
          <w:szCs w:val="21"/>
        </w:rPr>
        <w:t>、药品监管与服务</w:t>
      </w:r>
      <w:r>
        <w:rPr>
          <w:rFonts w:hint="eastAsia" w:ascii="宋体" w:hAnsi="宋体"/>
          <w:szCs w:val="21"/>
        </w:rPr>
        <w:t>的方法与技术，并具良好的科学素养，能独立承担制药工程技术和工程管理工作能力，能够胜任制药工程领域工作的高层次的复合型人才。培养具体要求如下：</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contextualSpacing/>
        <w:textAlignment w:val="auto"/>
        <w:rPr>
          <w:rFonts w:ascii="宋体" w:hAnsi="宋体"/>
          <w:szCs w:val="21"/>
        </w:rPr>
      </w:pPr>
      <w:r>
        <w:rPr>
          <w:rFonts w:hint="eastAsia" w:ascii="宋体" w:hAnsi="宋体"/>
          <w:szCs w:val="21"/>
        </w:rPr>
        <w:t>1.拥护党的基本路线，热爱祖国，遵纪守法，学风严谨，敬业爱岗，团结协作。</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contextualSpacing/>
        <w:textAlignment w:val="auto"/>
        <w:rPr>
          <w:rFonts w:ascii="宋体" w:hAnsi="宋体"/>
          <w:szCs w:val="21"/>
        </w:rPr>
      </w:pPr>
      <w:r>
        <w:rPr>
          <w:rFonts w:hint="eastAsia" w:ascii="宋体" w:hAnsi="宋体"/>
          <w:szCs w:val="21"/>
        </w:rPr>
        <w:t>2.在生物学、化学、药学等方面具备坚实宽广的理论基础，并在所研究领域具有深入系统的专门知识，对本学科的现状和发展趋势有深入的了解。</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contextualSpacing/>
        <w:textAlignment w:val="auto"/>
        <w:rPr>
          <w:rFonts w:ascii="宋体" w:hAnsi="宋体"/>
          <w:szCs w:val="21"/>
        </w:rPr>
      </w:pPr>
      <w:r>
        <w:rPr>
          <w:rFonts w:hint="eastAsia" w:ascii="宋体" w:hAnsi="宋体"/>
          <w:szCs w:val="21"/>
        </w:rPr>
        <w:t>3.</w:t>
      </w:r>
      <w:r>
        <w:rPr>
          <w:rFonts w:hint="eastAsia"/>
        </w:rPr>
        <w:t xml:space="preserve"> </w:t>
      </w:r>
      <w:r>
        <w:rPr>
          <w:rFonts w:hint="eastAsia" w:ascii="宋体" w:hAnsi="宋体"/>
          <w:szCs w:val="21"/>
        </w:rPr>
        <w:t>掌握所从事制药工程领域的基础理论、先进技术方法和手段,在制药工程领域具有独立从事工程设计、工程实施，工程研究、工程开发、工程管理等能力。</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contextualSpacing/>
        <w:textAlignment w:val="auto"/>
        <w:rPr>
          <w:rFonts w:ascii="宋体" w:hAnsi="宋体"/>
          <w:szCs w:val="21"/>
        </w:rPr>
      </w:pPr>
      <w:r>
        <w:rPr>
          <w:rFonts w:hint="eastAsia" w:ascii="宋体" w:hAnsi="宋体"/>
          <w:szCs w:val="21"/>
        </w:rPr>
        <w:t>4.具有健康的体魄、良好的心理素质和良好的社会适应能力。</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contextualSpacing/>
        <w:textAlignment w:val="auto"/>
        <w:rPr>
          <w:rFonts w:ascii="宋体" w:hAnsi="宋体"/>
          <w:szCs w:val="21"/>
        </w:rPr>
      </w:pPr>
      <w:r>
        <w:rPr>
          <w:rFonts w:hint="eastAsia" w:ascii="宋体" w:hAnsi="宋体"/>
          <w:szCs w:val="21"/>
        </w:rPr>
        <w:t>制药工程领域</w:t>
      </w:r>
      <w:r>
        <w:rPr>
          <w:rFonts w:ascii="宋体" w:hAnsi="宋体"/>
          <w:szCs w:val="21"/>
        </w:rPr>
        <w:t>专业</w:t>
      </w:r>
      <w:r>
        <w:rPr>
          <w:rFonts w:hint="eastAsia" w:ascii="宋体" w:hAnsi="宋体"/>
          <w:szCs w:val="21"/>
        </w:rPr>
        <w:t>范围包括</w:t>
      </w:r>
      <w:r>
        <w:rPr>
          <w:rFonts w:ascii="宋体" w:hAnsi="宋体"/>
          <w:szCs w:val="21"/>
        </w:rPr>
        <w:t>：</w:t>
      </w:r>
      <w:r>
        <w:rPr>
          <w:rFonts w:hint="eastAsia" w:ascii="宋体" w:hAnsi="宋体"/>
          <w:szCs w:val="21"/>
        </w:rPr>
        <w:t>化学制药工程；中药制药工程；生物制药工程；</w:t>
      </w:r>
      <w:r>
        <w:rPr>
          <w:rFonts w:ascii="宋体" w:hAnsi="宋体"/>
          <w:szCs w:val="21"/>
        </w:rPr>
        <w:t xml:space="preserve">                    </w:t>
      </w:r>
      <w:r>
        <w:rPr>
          <w:rFonts w:hint="eastAsia" w:ascii="宋体" w:hAnsi="宋体"/>
          <w:szCs w:val="21"/>
        </w:rPr>
        <w:t>药品检测</w:t>
      </w:r>
      <w:r>
        <w:rPr>
          <w:rFonts w:ascii="宋体" w:hAnsi="宋体"/>
          <w:szCs w:val="21"/>
        </w:rPr>
        <w:t>与监管工程</w:t>
      </w:r>
      <w:r>
        <w:rPr>
          <w:rFonts w:hint="eastAsia" w:ascii="宋体" w:hAnsi="宋体"/>
          <w:szCs w:val="21"/>
        </w:rPr>
        <w:t>；药学服务。</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auto"/>
        <w:textAlignment w:val="auto"/>
        <w:rPr>
          <w:rFonts w:ascii="黑体" w:hAnsi="宋体" w:eastAsia="黑体"/>
          <w:sz w:val="24"/>
        </w:rPr>
      </w:pPr>
      <w:r>
        <w:rPr>
          <w:rFonts w:hint="eastAsia" w:ascii="黑体" w:hAnsi="宋体" w:eastAsia="黑体"/>
          <w:sz w:val="24"/>
        </w:rPr>
        <w:t>二、培养方式与学习年限</w:t>
      </w:r>
    </w:p>
    <w:p>
      <w:pPr>
        <w:keepNext w:val="0"/>
        <w:keepLines w:val="0"/>
        <w:pageBreakBefore w:val="0"/>
        <w:widowControl w:val="0"/>
        <w:kinsoku/>
        <w:wordWrap/>
        <w:overflowPunct/>
        <w:topLinePunct w:val="0"/>
        <w:autoSpaceDE/>
        <w:autoSpaceDN/>
        <w:bidi w:val="0"/>
        <w:adjustRightInd/>
        <w:snapToGrid/>
        <w:spacing w:line="300" w:lineRule="auto"/>
        <w:ind w:firstLine="465"/>
        <w:contextualSpacing/>
        <w:textAlignment w:val="auto"/>
        <w:rPr>
          <w:szCs w:val="21"/>
        </w:rPr>
      </w:pPr>
      <w:r>
        <w:rPr>
          <w:rFonts w:hint="eastAsia"/>
          <w:szCs w:val="21"/>
        </w:rPr>
        <w:t>1．培养方式：</w:t>
      </w:r>
    </w:p>
    <w:p>
      <w:pPr>
        <w:pStyle w:val="159"/>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Chars="0"/>
        <w:contextualSpacing/>
        <w:textAlignment w:val="auto"/>
        <w:rPr>
          <w:szCs w:val="21"/>
        </w:rPr>
      </w:pPr>
      <w:r>
        <w:rPr>
          <w:rFonts w:hint="eastAsia"/>
          <w:szCs w:val="21"/>
        </w:rPr>
        <w:t>采取协同培养方式，实行“双师型”指导模式，由校内导师和校外导师共同开展研究生指导工作，负责研究生培养计划制订、专业实践安排以及学位论文指导等事宜。</w:t>
      </w:r>
    </w:p>
    <w:p>
      <w:pPr>
        <w:pStyle w:val="159"/>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Chars="0"/>
        <w:contextualSpacing/>
        <w:textAlignment w:val="auto"/>
        <w:rPr>
          <w:szCs w:val="21"/>
        </w:rPr>
      </w:pPr>
      <w:r>
        <w:rPr>
          <w:rFonts w:hint="eastAsia"/>
          <w:szCs w:val="21"/>
        </w:rPr>
        <w:t>生物与医药硕士制药工程项目研究生培养实行学分制，课程学习可采用上课、辅导、讲座、讨论班等方式。</w:t>
      </w:r>
    </w:p>
    <w:p>
      <w:pPr>
        <w:pStyle w:val="159"/>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Chars="0"/>
        <w:contextualSpacing/>
        <w:textAlignment w:val="auto"/>
        <w:rPr>
          <w:szCs w:val="21"/>
        </w:rPr>
      </w:pPr>
      <w:r>
        <w:rPr>
          <w:rFonts w:hint="eastAsia"/>
          <w:szCs w:val="21"/>
        </w:rPr>
        <w:t>导师应根据本培养方案和因材施教的原则，制订出具体的培养计划。</w:t>
      </w:r>
    </w:p>
    <w:p>
      <w:pPr>
        <w:pStyle w:val="159"/>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Chars="0"/>
        <w:contextualSpacing/>
        <w:textAlignment w:val="auto"/>
        <w:rPr>
          <w:szCs w:val="21"/>
        </w:rPr>
      </w:pPr>
      <w:r>
        <w:rPr>
          <w:rFonts w:hint="eastAsia"/>
          <w:szCs w:val="21"/>
        </w:rPr>
        <w:t>开题应注重培养硕士生的创造能力及科研能力，在导师的指导下，通过查阅文献、调查研究后由本人确定。</w:t>
      </w:r>
    </w:p>
    <w:p>
      <w:pPr>
        <w:pStyle w:val="159"/>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Chars="0"/>
        <w:contextualSpacing/>
        <w:textAlignment w:val="auto"/>
        <w:rPr>
          <w:szCs w:val="21"/>
        </w:rPr>
      </w:pPr>
      <w:r>
        <w:rPr>
          <w:rFonts w:hint="eastAsia"/>
          <w:szCs w:val="21"/>
        </w:rPr>
        <w:t>硕士生应参加校、院组织的研讨会或其他学术活动。根据科研工作的需要，可适当安排硕士生外出参加有关学术活动。</w:t>
      </w:r>
    </w:p>
    <w:p>
      <w:pPr>
        <w:pStyle w:val="159"/>
        <w:keepNext w:val="0"/>
        <w:keepLines w:val="0"/>
        <w:pageBreakBefore w:val="0"/>
        <w:widowControl w:val="0"/>
        <w:numPr>
          <w:ilvl w:val="0"/>
          <w:numId w:val="5"/>
        </w:numPr>
        <w:kinsoku/>
        <w:wordWrap/>
        <w:overflowPunct/>
        <w:topLinePunct w:val="0"/>
        <w:autoSpaceDE/>
        <w:autoSpaceDN/>
        <w:bidi w:val="0"/>
        <w:adjustRightInd/>
        <w:snapToGrid/>
        <w:spacing w:line="300" w:lineRule="auto"/>
        <w:ind w:firstLineChars="0"/>
        <w:contextualSpacing/>
        <w:textAlignment w:val="auto"/>
        <w:rPr>
          <w:szCs w:val="21"/>
        </w:rPr>
      </w:pPr>
      <w:r>
        <w:rPr>
          <w:rFonts w:hint="eastAsia"/>
          <w:szCs w:val="21"/>
        </w:rPr>
        <w:t>硕士生在第四学期结束前完成中期考核，考核不通过者，可参加下学期的中期考核。</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contextualSpacing/>
        <w:textAlignment w:val="auto"/>
        <w:rPr>
          <w:szCs w:val="21"/>
        </w:rPr>
      </w:pPr>
      <w:r>
        <w:rPr>
          <w:rFonts w:hint="eastAsia"/>
          <w:szCs w:val="21"/>
        </w:rPr>
        <w:t>2．学习年限：</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contextualSpacing/>
        <w:textAlignment w:val="auto"/>
        <w:rPr>
          <w:szCs w:val="21"/>
        </w:rPr>
      </w:pPr>
      <w:r>
        <w:rPr>
          <w:rFonts w:hint="eastAsia"/>
          <w:szCs w:val="21"/>
        </w:rPr>
        <w:t>生物与医药硕士制药工程项目研究生在校的学习年限为3年。第一学年学习专业基础理论，掌握进行科研所必需的基本技能，完成课题</w:t>
      </w:r>
      <w:r>
        <w:rPr>
          <w:szCs w:val="21"/>
        </w:rPr>
        <w:t>开题</w:t>
      </w:r>
      <w:r>
        <w:rPr>
          <w:rFonts w:hint="eastAsia"/>
          <w:szCs w:val="21"/>
        </w:rPr>
        <w:t>。第二、三学年进行专业实践，在导师</w:t>
      </w:r>
      <w:r>
        <w:rPr>
          <w:szCs w:val="21"/>
        </w:rPr>
        <w:t>指导下</w:t>
      </w:r>
      <w:r>
        <w:rPr>
          <w:rFonts w:hint="eastAsia"/>
          <w:szCs w:val="21"/>
        </w:rPr>
        <w:t>进行课题研究，并形成论文。</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auto"/>
        <w:textAlignment w:val="auto"/>
        <w:rPr>
          <w:rFonts w:ascii="黑体" w:hAnsi="宋体" w:eastAsia="黑体"/>
          <w:sz w:val="24"/>
        </w:rPr>
      </w:pPr>
      <w:r>
        <w:rPr>
          <w:rFonts w:hint="eastAsia" w:ascii="黑体" w:hAnsi="宋体" w:eastAsia="黑体"/>
          <w:sz w:val="24"/>
        </w:rPr>
        <w:t>三、培养环节</w:t>
      </w:r>
    </w:p>
    <w:p>
      <w:pPr>
        <w:keepNext w:val="0"/>
        <w:keepLines w:val="0"/>
        <w:pageBreakBefore w:val="0"/>
        <w:widowControl w:val="0"/>
        <w:kinsoku/>
        <w:wordWrap/>
        <w:overflowPunct/>
        <w:topLinePunct w:val="0"/>
        <w:autoSpaceDE/>
        <w:autoSpaceDN/>
        <w:bidi w:val="0"/>
        <w:adjustRightInd/>
        <w:snapToGrid/>
        <w:spacing w:line="300" w:lineRule="auto"/>
        <w:ind w:firstLine="396" w:firstLineChars="200"/>
        <w:contextualSpacing/>
        <w:textAlignment w:val="auto"/>
        <w:rPr>
          <w:spacing w:val="-6"/>
          <w:szCs w:val="21"/>
        </w:rPr>
      </w:pPr>
      <w:r>
        <w:rPr>
          <w:rFonts w:hint="eastAsia"/>
          <w:spacing w:val="-6"/>
          <w:szCs w:val="21"/>
        </w:rPr>
        <w:t>培养环节包括课程学习和必修环节。</w:t>
      </w:r>
      <w:r>
        <w:rPr>
          <w:rFonts w:hint="eastAsia"/>
          <w:szCs w:val="21"/>
        </w:rPr>
        <w:t>生物与医药硕士制药工程项目研究生</w:t>
      </w:r>
      <w:r>
        <w:rPr>
          <w:rFonts w:hint="eastAsia"/>
          <w:spacing w:val="-6"/>
          <w:szCs w:val="21"/>
        </w:rPr>
        <w:t>的学习实行学分制。本学科的硕士研究生在校期间至少修满38学分，其中课程学习应至少完成26学分，必修环节12学分。课程由学位课和选修课组成，必修环节包括“</w:t>
      </w:r>
      <w:r>
        <w:rPr>
          <w:spacing w:val="-6"/>
          <w:szCs w:val="21"/>
        </w:rPr>
        <w:t>学术活动（讲座）硕</w:t>
      </w:r>
      <w:r>
        <w:rPr>
          <w:rFonts w:hint="eastAsia"/>
          <w:spacing w:val="-6"/>
          <w:szCs w:val="21"/>
        </w:rPr>
        <w:t>”、“</w:t>
      </w:r>
      <w:r>
        <w:rPr>
          <w:spacing w:val="-6"/>
          <w:szCs w:val="21"/>
        </w:rPr>
        <w:t>中期考核（硕）</w:t>
      </w:r>
      <w:r>
        <w:rPr>
          <w:rFonts w:hint="eastAsia"/>
          <w:spacing w:val="-6"/>
          <w:szCs w:val="21"/>
        </w:rPr>
        <w:t>”和“专业实践”。</w:t>
      </w:r>
    </w:p>
    <w:p>
      <w:pPr>
        <w:spacing w:before="120" w:beforeLines="50" w:line="286" w:lineRule="auto"/>
        <w:jc w:val="center"/>
        <w:outlineLvl w:val="0"/>
        <w:rPr>
          <w:b/>
          <w:szCs w:val="21"/>
        </w:rPr>
      </w:pPr>
      <w:bookmarkStart w:id="587" w:name="_Toc46247702"/>
      <w:bookmarkStart w:id="588" w:name="_Toc110427527"/>
      <w:r>
        <w:rPr>
          <w:rFonts w:hint="eastAsia"/>
          <w:b/>
          <w:szCs w:val="21"/>
        </w:rPr>
        <w:t>生物与医药硕士制药工程项目课程学习与必修环节基本要求</w:t>
      </w:r>
      <w:bookmarkEnd w:id="587"/>
      <w:bookmarkEnd w:id="588"/>
    </w:p>
    <w:tbl>
      <w:tblPr>
        <w:tblStyle w:val="37"/>
        <w:tblW w:w="47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
        <w:gridCol w:w="748"/>
        <w:gridCol w:w="618"/>
        <w:gridCol w:w="362"/>
        <w:gridCol w:w="778"/>
        <w:gridCol w:w="1540"/>
        <w:gridCol w:w="2396"/>
        <w:gridCol w:w="526"/>
        <w:gridCol w:w="739"/>
        <w:gridCol w:w="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blHeader/>
          <w:jc w:val="center"/>
        </w:trPr>
        <w:tc>
          <w:tcPr>
            <w:tcW w:w="650" w:type="pct"/>
            <w:gridSpan w:val="2"/>
            <w:vMerge w:val="restart"/>
            <w:tcBorders>
              <w:tr2bl w:val="single" w:color="auto" w:sz="4" w:space="0"/>
            </w:tcBorders>
          </w:tcPr>
          <w:p>
            <w:pPr>
              <w:spacing w:line="283" w:lineRule="auto"/>
              <w:ind w:left="-42" w:leftChars="-20" w:right="-42" w:rightChars="-20"/>
              <w:jc w:val="center"/>
              <w:rPr>
                <w:rFonts w:hint="eastAsia" w:ascii="宋体" w:hAnsi="宋体" w:eastAsia="宋体" w:cs="宋体"/>
                <w:b/>
                <w:sz w:val="21"/>
                <w:szCs w:val="21"/>
              </w:rPr>
            </w:pPr>
          </w:p>
        </w:tc>
        <w:tc>
          <w:tcPr>
            <w:tcW w:w="567" w:type="pct"/>
            <w:gridSpan w:val="2"/>
            <w:vAlign w:val="center"/>
          </w:tcPr>
          <w:p>
            <w:pPr>
              <w:spacing w:line="283" w:lineRule="auto"/>
              <w:ind w:right="-42" w:rightChars="-20"/>
              <w:jc w:val="center"/>
              <w:rPr>
                <w:rFonts w:hint="eastAsia" w:ascii="宋体" w:hAnsi="宋体" w:eastAsia="宋体" w:cs="宋体"/>
                <w:b/>
                <w:sz w:val="21"/>
                <w:szCs w:val="21"/>
              </w:rPr>
            </w:pPr>
            <w:r>
              <w:rPr>
                <w:rFonts w:hint="eastAsia" w:ascii="宋体" w:hAnsi="宋体" w:eastAsia="宋体" w:cs="宋体"/>
                <w:b/>
                <w:sz w:val="21"/>
                <w:szCs w:val="21"/>
              </w:rPr>
              <w:t>总学分</w:t>
            </w:r>
          </w:p>
        </w:tc>
        <w:tc>
          <w:tcPr>
            <w:tcW w:w="2728" w:type="pct"/>
            <w:gridSpan w:val="3"/>
            <w:vAlign w:val="center"/>
          </w:tcPr>
          <w:p>
            <w:pPr>
              <w:spacing w:line="283" w:lineRule="auto"/>
              <w:ind w:right="-42" w:rightChars="-20"/>
              <w:jc w:val="center"/>
              <w:rPr>
                <w:rFonts w:hint="eastAsia" w:ascii="宋体" w:hAnsi="宋体" w:eastAsia="宋体" w:cs="宋体"/>
                <w:b/>
                <w:sz w:val="21"/>
                <w:szCs w:val="21"/>
              </w:rPr>
            </w:pPr>
            <w:r>
              <w:rPr>
                <w:rFonts w:hint="eastAsia" w:ascii="宋体" w:hAnsi="宋体" w:eastAsia="宋体" w:cs="宋体"/>
                <w:b/>
                <w:sz w:val="21"/>
                <w:szCs w:val="21"/>
              </w:rPr>
              <w:t>≧38</w:t>
            </w:r>
          </w:p>
        </w:tc>
        <w:tc>
          <w:tcPr>
            <w:tcW w:w="304" w:type="pct"/>
            <w:vMerge w:val="restart"/>
            <w:vAlign w:val="center"/>
          </w:tcPr>
          <w:p>
            <w:pPr>
              <w:spacing w:line="283" w:lineRule="auto"/>
              <w:ind w:right="-42" w:rightChars="-20"/>
              <w:jc w:val="center"/>
              <w:rPr>
                <w:rFonts w:hint="eastAsia" w:ascii="宋体" w:hAnsi="宋体" w:eastAsia="宋体" w:cs="宋体"/>
                <w:b/>
                <w:sz w:val="21"/>
                <w:szCs w:val="21"/>
              </w:rPr>
            </w:pPr>
            <w:r>
              <w:rPr>
                <w:rFonts w:hint="eastAsia" w:ascii="宋体" w:hAnsi="宋体" w:eastAsia="宋体" w:cs="宋体"/>
                <w:b/>
                <w:sz w:val="21"/>
                <w:szCs w:val="21"/>
              </w:rPr>
              <w:t>学制</w:t>
            </w:r>
          </w:p>
        </w:tc>
        <w:tc>
          <w:tcPr>
            <w:tcW w:w="748" w:type="pct"/>
            <w:gridSpan w:val="2"/>
            <w:vMerge w:val="restart"/>
            <w:vAlign w:val="center"/>
          </w:tcPr>
          <w:p>
            <w:pPr>
              <w:spacing w:line="283" w:lineRule="auto"/>
              <w:ind w:right="-42" w:rightChars="-20"/>
              <w:jc w:val="center"/>
              <w:rPr>
                <w:rFonts w:hint="eastAsia" w:ascii="宋体" w:hAnsi="宋体" w:eastAsia="宋体" w:cs="宋体"/>
                <w:sz w:val="21"/>
                <w:szCs w:val="21"/>
              </w:rPr>
            </w:pPr>
            <w:r>
              <w:rPr>
                <w:rFonts w:hint="eastAsia" w:ascii="宋体" w:hAnsi="宋体" w:eastAsia="宋体" w:cs="宋体"/>
                <w:sz w:val="21"/>
                <w:szCs w:val="21"/>
              </w:rPr>
              <w:t>_</w:t>
            </w:r>
            <w:r>
              <w:rPr>
                <w:rFonts w:hint="eastAsia" w:ascii="宋体" w:hAnsi="宋体" w:eastAsia="宋体" w:cs="宋体"/>
                <w:sz w:val="21"/>
                <w:szCs w:val="21"/>
                <w:u w:val="single"/>
              </w:rPr>
              <w:t>3</w:t>
            </w:r>
            <w:r>
              <w:rPr>
                <w:rFonts w:hint="eastAsia" w:ascii="宋体" w:hAnsi="宋体" w:eastAsia="宋体" w:cs="宋体"/>
                <w:sz w:val="21"/>
                <w:szCs w:val="21"/>
              </w:rPr>
              <w:t>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blHeader/>
          <w:jc w:val="center"/>
        </w:trPr>
        <w:tc>
          <w:tcPr>
            <w:tcW w:w="650" w:type="pct"/>
            <w:gridSpan w:val="2"/>
            <w:vMerge w:val="continue"/>
            <w:tcBorders>
              <w:tr2bl w:val="single" w:color="auto" w:sz="4" w:space="0"/>
            </w:tcBorders>
          </w:tcPr>
          <w:p>
            <w:pPr>
              <w:spacing w:line="283" w:lineRule="auto"/>
              <w:ind w:left="-42" w:leftChars="-20" w:right="-42" w:rightChars="-20"/>
              <w:jc w:val="center"/>
              <w:rPr>
                <w:rFonts w:hint="eastAsia" w:ascii="宋体" w:hAnsi="宋体" w:eastAsia="宋体" w:cs="宋体"/>
                <w:b/>
                <w:sz w:val="21"/>
                <w:szCs w:val="21"/>
              </w:rPr>
            </w:pPr>
          </w:p>
        </w:tc>
        <w:tc>
          <w:tcPr>
            <w:tcW w:w="3296" w:type="pct"/>
            <w:gridSpan w:val="5"/>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其中：课程学习26学分，必修环节12学分</w:t>
            </w:r>
          </w:p>
        </w:tc>
        <w:tc>
          <w:tcPr>
            <w:tcW w:w="304" w:type="pct"/>
            <w:vMerge w:val="continue"/>
          </w:tcPr>
          <w:p>
            <w:pPr>
              <w:spacing w:line="283" w:lineRule="auto"/>
              <w:ind w:left="-42" w:leftChars="-20" w:right="-42" w:rightChars="-20"/>
              <w:jc w:val="center"/>
              <w:rPr>
                <w:rFonts w:hint="eastAsia" w:ascii="宋体" w:hAnsi="宋体" w:eastAsia="宋体" w:cs="宋体"/>
                <w:b/>
                <w:sz w:val="21"/>
                <w:szCs w:val="21"/>
              </w:rPr>
            </w:pPr>
          </w:p>
        </w:tc>
        <w:tc>
          <w:tcPr>
            <w:tcW w:w="748" w:type="pct"/>
            <w:gridSpan w:val="2"/>
            <w:vMerge w:val="continue"/>
          </w:tcPr>
          <w:p>
            <w:pPr>
              <w:spacing w:line="283" w:lineRule="auto"/>
              <w:ind w:left="-42" w:leftChars="-20" w:right="-42" w:rightChars="-20"/>
              <w:jc w:val="cente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650" w:type="pct"/>
            <w:gridSpan w:val="2"/>
            <w:vAlign w:val="center"/>
          </w:tcPr>
          <w:p>
            <w:pPr>
              <w:spacing w:line="283" w:lineRule="auto"/>
              <w:ind w:left="-42" w:leftChars="-20" w:right="-42" w:rightChars="-20"/>
              <w:jc w:val="center"/>
              <w:rPr>
                <w:rFonts w:hint="eastAsia" w:ascii="宋体" w:hAnsi="宋体" w:eastAsia="宋体" w:cs="宋体"/>
                <w:b/>
                <w:sz w:val="21"/>
                <w:szCs w:val="21"/>
              </w:rPr>
            </w:pPr>
            <w:r>
              <w:rPr>
                <w:rFonts w:hint="eastAsia" w:ascii="宋体" w:hAnsi="宋体" w:eastAsia="宋体" w:cs="宋体"/>
                <w:b/>
                <w:sz w:val="21"/>
                <w:szCs w:val="21"/>
              </w:rPr>
              <w:t>培养环节</w:t>
            </w:r>
          </w:p>
        </w:tc>
        <w:tc>
          <w:tcPr>
            <w:tcW w:w="357" w:type="pct"/>
            <w:vAlign w:val="center"/>
          </w:tcPr>
          <w:p>
            <w:pPr>
              <w:spacing w:line="283" w:lineRule="auto"/>
              <w:ind w:left="-42" w:leftChars="-20" w:right="-42" w:rightChars="-20"/>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659" w:type="pct"/>
            <w:gridSpan w:val="2"/>
            <w:vAlign w:val="center"/>
          </w:tcPr>
          <w:p>
            <w:pPr>
              <w:spacing w:line="283" w:lineRule="auto"/>
              <w:ind w:left="-42" w:leftChars="-20" w:right="-42" w:rightChars="-20"/>
              <w:jc w:val="center"/>
              <w:rPr>
                <w:rFonts w:hint="eastAsia" w:ascii="宋体" w:hAnsi="宋体" w:eastAsia="宋体" w:cs="宋体"/>
                <w:b/>
                <w:sz w:val="21"/>
                <w:szCs w:val="21"/>
              </w:rPr>
            </w:pPr>
            <w:r>
              <w:rPr>
                <w:rFonts w:hint="eastAsia" w:ascii="宋体" w:hAnsi="宋体" w:eastAsia="宋体" w:cs="宋体"/>
                <w:b/>
                <w:sz w:val="21"/>
                <w:szCs w:val="21"/>
              </w:rPr>
              <w:t>课程编号</w:t>
            </w:r>
          </w:p>
        </w:tc>
        <w:tc>
          <w:tcPr>
            <w:tcW w:w="891" w:type="pct"/>
            <w:vAlign w:val="center"/>
          </w:tcPr>
          <w:p>
            <w:pPr>
              <w:spacing w:line="283" w:lineRule="auto"/>
              <w:ind w:left="-42" w:leftChars="-20" w:right="-42" w:rightChars="-20"/>
              <w:jc w:val="center"/>
              <w:rPr>
                <w:rFonts w:hint="eastAsia" w:ascii="宋体" w:hAnsi="宋体" w:eastAsia="宋体" w:cs="宋体"/>
                <w:b/>
                <w:sz w:val="21"/>
                <w:szCs w:val="21"/>
              </w:rPr>
            </w:pPr>
            <w:r>
              <w:rPr>
                <w:rFonts w:hint="eastAsia" w:ascii="宋体" w:hAnsi="宋体" w:eastAsia="宋体" w:cs="宋体"/>
                <w:b/>
                <w:sz w:val="21"/>
                <w:szCs w:val="21"/>
              </w:rPr>
              <w:t>统一编码</w:t>
            </w:r>
          </w:p>
        </w:tc>
        <w:tc>
          <w:tcPr>
            <w:tcW w:w="1387" w:type="pct"/>
            <w:vAlign w:val="center"/>
          </w:tcPr>
          <w:p>
            <w:pPr>
              <w:spacing w:line="283" w:lineRule="auto"/>
              <w:ind w:left="-42" w:leftChars="-20" w:right="-42" w:rightChars="-20"/>
              <w:jc w:val="center"/>
              <w:rPr>
                <w:rFonts w:hint="eastAsia" w:ascii="宋体" w:hAnsi="宋体" w:eastAsia="宋体" w:cs="宋体"/>
                <w:b/>
                <w:sz w:val="21"/>
                <w:szCs w:val="21"/>
              </w:rPr>
            </w:pPr>
            <w:r>
              <w:rPr>
                <w:rFonts w:hint="eastAsia" w:ascii="宋体" w:hAnsi="宋体" w:eastAsia="宋体" w:cs="宋体"/>
                <w:b/>
                <w:sz w:val="21"/>
                <w:szCs w:val="21"/>
              </w:rPr>
              <w:t>课程名称</w:t>
            </w:r>
          </w:p>
        </w:tc>
        <w:tc>
          <w:tcPr>
            <w:tcW w:w="304" w:type="pct"/>
            <w:vAlign w:val="center"/>
          </w:tcPr>
          <w:p>
            <w:pPr>
              <w:spacing w:line="283" w:lineRule="auto"/>
              <w:ind w:left="-42" w:leftChars="-20" w:right="-42" w:rightChars="-20"/>
              <w:jc w:val="center"/>
              <w:rPr>
                <w:rFonts w:hint="eastAsia" w:ascii="宋体" w:hAnsi="宋体" w:eastAsia="宋体" w:cs="宋体"/>
                <w:b/>
                <w:sz w:val="21"/>
                <w:szCs w:val="21"/>
              </w:rPr>
            </w:pPr>
            <w:r>
              <w:rPr>
                <w:rFonts w:hint="eastAsia" w:ascii="宋体" w:hAnsi="宋体" w:eastAsia="宋体" w:cs="宋体"/>
                <w:b/>
                <w:sz w:val="21"/>
                <w:szCs w:val="21"/>
              </w:rPr>
              <w:t>学分</w:t>
            </w:r>
          </w:p>
        </w:tc>
        <w:tc>
          <w:tcPr>
            <w:tcW w:w="427" w:type="pct"/>
            <w:vAlign w:val="center"/>
          </w:tcPr>
          <w:p>
            <w:pPr>
              <w:spacing w:line="283" w:lineRule="auto"/>
              <w:ind w:left="-42" w:leftChars="-20" w:right="-42" w:rightChars="-20"/>
              <w:jc w:val="center"/>
              <w:rPr>
                <w:rFonts w:hint="eastAsia" w:ascii="宋体" w:hAnsi="宋体" w:eastAsia="宋体" w:cs="宋体"/>
                <w:b/>
                <w:sz w:val="21"/>
                <w:szCs w:val="21"/>
              </w:rPr>
            </w:pPr>
            <w:r>
              <w:rPr>
                <w:rFonts w:hint="eastAsia" w:ascii="宋体" w:hAnsi="宋体" w:eastAsia="宋体" w:cs="宋体"/>
                <w:b/>
                <w:sz w:val="21"/>
                <w:szCs w:val="21"/>
              </w:rPr>
              <w:t>类型要求</w:t>
            </w:r>
          </w:p>
        </w:tc>
        <w:tc>
          <w:tcPr>
            <w:tcW w:w="320" w:type="pct"/>
            <w:vAlign w:val="center"/>
          </w:tcPr>
          <w:p>
            <w:pPr>
              <w:spacing w:line="283" w:lineRule="auto"/>
              <w:ind w:left="-42" w:leftChars="-20" w:right="-42" w:rightChars="-20"/>
              <w:jc w:val="center"/>
              <w:rPr>
                <w:rFonts w:hint="eastAsia" w:ascii="宋体" w:hAnsi="宋体" w:eastAsia="宋体" w:cs="宋体"/>
                <w:b/>
                <w:sz w:val="21"/>
                <w:szCs w:val="21"/>
              </w:rPr>
            </w:pPr>
            <w:r>
              <w:rPr>
                <w:rFonts w:hint="eastAsia" w:ascii="宋体" w:hAnsi="宋体" w:eastAsia="宋体" w:cs="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17" w:type="pct"/>
            <w:vMerge w:val="restart"/>
          </w:tcPr>
          <w:p>
            <w:pPr>
              <w:spacing w:line="283" w:lineRule="auto"/>
              <w:ind w:right="-42" w:rightChars="-20"/>
              <w:jc w:val="left"/>
              <w:rPr>
                <w:rFonts w:hint="eastAsia" w:ascii="宋体" w:hAnsi="宋体" w:eastAsia="宋体" w:cs="宋体"/>
                <w:sz w:val="21"/>
                <w:szCs w:val="21"/>
              </w:rPr>
            </w:pPr>
          </w:p>
          <w:p>
            <w:pPr>
              <w:spacing w:line="283" w:lineRule="auto"/>
              <w:ind w:right="-42" w:rightChars="-20"/>
              <w:jc w:val="left"/>
              <w:rPr>
                <w:rFonts w:hint="eastAsia" w:ascii="宋体" w:hAnsi="宋体" w:eastAsia="宋体" w:cs="宋体"/>
                <w:sz w:val="21"/>
                <w:szCs w:val="21"/>
              </w:rPr>
            </w:pPr>
          </w:p>
          <w:p>
            <w:pPr>
              <w:spacing w:line="283" w:lineRule="auto"/>
              <w:ind w:right="-42" w:rightChars="-20"/>
              <w:jc w:val="left"/>
              <w:rPr>
                <w:rFonts w:hint="eastAsia" w:ascii="宋体" w:hAnsi="宋体" w:eastAsia="宋体" w:cs="宋体"/>
                <w:sz w:val="21"/>
                <w:szCs w:val="21"/>
              </w:rPr>
            </w:pPr>
          </w:p>
          <w:p>
            <w:pPr>
              <w:spacing w:line="283" w:lineRule="auto"/>
              <w:ind w:right="-42" w:rightChars="-20"/>
              <w:jc w:val="left"/>
              <w:rPr>
                <w:rFonts w:hint="eastAsia" w:ascii="宋体" w:hAnsi="宋体" w:eastAsia="宋体" w:cs="宋体"/>
                <w:sz w:val="21"/>
                <w:szCs w:val="21"/>
              </w:rPr>
            </w:pPr>
          </w:p>
          <w:p>
            <w:pPr>
              <w:spacing w:line="283" w:lineRule="auto"/>
              <w:ind w:right="-42" w:rightChars="-20"/>
              <w:jc w:val="left"/>
              <w:rPr>
                <w:rFonts w:hint="eastAsia" w:ascii="宋体" w:hAnsi="宋体" w:eastAsia="宋体" w:cs="宋体"/>
                <w:sz w:val="21"/>
                <w:szCs w:val="21"/>
              </w:rPr>
            </w:pPr>
          </w:p>
          <w:p>
            <w:pPr>
              <w:spacing w:line="283" w:lineRule="auto"/>
              <w:ind w:right="-42" w:rightChars="-20"/>
              <w:jc w:val="left"/>
              <w:rPr>
                <w:rFonts w:hint="eastAsia" w:ascii="宋体" w:hAnsi="宋体" w:eastAsia="宋体" w:cs="宋体"/>
                <w:sz w:val="21"/>
                <w:szCs w:val="21"/>
              </w:rPr>
            </w:pPr>
          </w:p>
          <w:p>
            <w:pPr>
              <w:spacing w:line="283" w:lineRule="auto"/>
              <w:ind w:right="-42" w:rightChars="-20"/>
              <w:jc w:val="left"/>
              <w:rPr>
                <w:rFonts w:hint="eastAsia" w:ascii="宋体" w:hAnsi="宋体" w:eastAsia="宋体" w:cs="宋体"/>
                <w:sz w:val="21"/>
                <w:szCs w:val="21"/>
              </w:rPr>
            </w:pPr>
          </w:p>
          <w:p>
            <w:pPr>
              <w:spacing w:line="283" w:lineRule="auto"/>
              <w:ind w:right="-42" w:rightChars="-20"/>
              <w:jc w:val="left"/>
              <w:rPr>
                <w:rFonts w:hint="eastAsia" w:ascii="宋体" w:hAnsi="宋体" w:eastAsia="宋体" w:cs="宋体"/>
                <w:sz w:val="21"/>
                <w:szCs w:val="21"/>
              </w:rPr>
            </w:pPr>
          </w:p>
          <w:p>
            <w:pPr>
              <w:spacing w:line="283" w:lineRule="auto"/>
              <w:ind w:right="-42" w:rightChars="-20"/>
              <w:jc w:val="left"/>
              <w:rPr>
                <w:rFonts w:hint="eastAsia" w:ascii="宋体" w:hAnsi="宋体" w:eastAsia="宋体" w:cs="宋体"/>
                <w:sz w:val="21"/>
                <w:szCs w:val="21"/>
              </w:rPr>
            </w:pPr>
          </w:p>
          <w:p>
            <w:pPr>
              <w:spacing w:line="283" w:lineRule="auto"/>
              <w:ind w:right="-42" w:rightChars="-20"/>
              <w:jc w:val="left"/>
              <w:rPr>
                <w:rFonts w:hint="eastAsia" w:ascii="宋体" w:hAnsi="宋体" w:eastAsia="宋体" w:cs="宋体"/>
                <w:sz w:val="21"/>
                <w:szCs w:val="21"/>
              </w:rPr>
            </w:pPr>
          </w:p>
          <w:p>
            <w:pPr>
              <w:spacing w:line="283" w:lineRule="auto"/>
              <w:ind w:right="-42" w:rightChars="-20"/>
              <w:jc w:val="left"/>
              <w:rPr>
                <w:rFonts w:hint="eastAsia" w:ascii="宋体" w:hAnsi="宋体" w:eastAsia="宋体" w:cs="宋体"/>
                <w:sz w:val="21"/>
                <w:szCs w:val="21"/>
              </w:rPr>
            </w:pPr>
          </w:p>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学</w:t>
            </w:r>
          </w:p>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位</w:t>
            </w:r>
          </w:p>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课</w:t>
            </w:r>
          </w:p>
        </w:tc>
        <w:tc>
          <w:tcPr>
            <w:tcW w:w="433" w:type="pct"/>
            <w:vMerge w:val="restar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公共</w:t>
            </w:r>
          </w:p>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学位课</w:t>
            </w:r>
          </w:p>
        </w:tc>
        <w:tc>
          <w:tcPr>
            <w:tcW w:w="357"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w:t>
            </w:r>
          </w:p>
        </w:tc>
        <w:tc>
          <w:tcPr>
            <w:tcW w:w="659" w:type="pct"/>
            <w:gridSpan w:val="2"/>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141003</w:t>
            </w:r>
          </w:p>
        </w:tc>
        <w:tc>
          <w:tcPr>
            <w:tcW w:w="891" w:type="pct"/>
            <w:vAlign w:val="center"/>
          </w:tcPr>
          <w:p>
            <w:pPr>
              <w:widowControl/>
              <w:spacing w:line="283" w:lineRule="auto"/>
              <w:jc w:val="center"/>
              <w:rPr>
                <w:rFonts w:hint="eastAsia" w:ascii="宋体" w:hAnsi="宋体" w:eastAsia="宋体" w:cs="宋体"/>
                <w:sz w:val="21"/>
                <w:szCs w:val="21"/>
              </w:rPr>
            </w:pPr>
            <w:r>
              <w:rPr>
                <w:rFonts w:hint="eastAsia" w:ascii="宋体" w:hAnsi="宋体" w:eastAsia="宋体" w:cs="宋体"/>
                <w:sz w:val="21"/>
                <w:szCs w:val="21"/>
              </w:rPr>
              <w:t>MLMD600314</w:t>
            </w:r>
          </w:p>
        </w:tc>
        <w:tc>
          <w:tcPr>
            <w:tcW w:w="1387" w:type="pct"/>
            <w:vAlign w:val="center"/>
          </w:tcPr>
          <w:p>
            <w:pPr>
              <w:spacing w:line="283" w:lineRule="auto"/>
              <w:ind w:left="-42" w:leftChars="-20" w:right="-42" w:rightChars="-20"/>
              <w:rPr>
                <w:rFonts w:hint="eastAsia" w:ascii="宋体" w:hAnsi="宋体" w:eastAsia="宋体" w:cs="宋体"/>
                <w:b/>
                <w:sz w:val="21"/>
                <w:szCs w:val="21"/>
              </w:rPr>
            </w:pPr>
            <w:r>
              <w:rPr>
                <w:rFonts w:hint="eastAsia" w:ascii="宋体" w:hAnsi="宋体" w:eastAsia="宋体" w:cs="宋体"/>
                <w:sz w:val="21"/>
                <w:szCs w:val="21"/>
              </w:rPr>
              <w:t>新时代中国特色社会主义理论与实践</w:t>
            </w:r>
          </w:p>
        </w:tc>
        <w:tc>
          <w:tcPr>
            <w:tcW w:w="304"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2</w:t>
            </w:r>
          </w:p>
        </w:tc>
        <w:tc>
          <w:tcPr>
            <w:tcW w:w="427" w:type="pct"/>
            <w:vMerge w:val="restart"/>
            <w:vAlign w:val="center"/>
          </w:tcPr>
          <w:p>
            <w:pPr>
              <w:spacing w:line="283"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必修</w:t>
            </w:r>
          </w:p>
          <w:p>
            <w:pPr>
              <w:spacing w:line="283" w:lineRule="auto"/>
              <w:jc w:val="center"/>
              <w:rPr>
                <w:rFonts w:hint="eastAsia" w:ascii="宋体" w:hAnsi="宋体" w:eastAsia="宋体" w:cs="宋体"/>
                <w:b/>
                <w:sz w:val="21"/>
                <w:szCs w:val="21"/>
              </w:rPr>
            </w:pPr>
            <w:r>
              <w:rPr>
                <w:rFonts w:hint="eastAsia" w:ascii="宋体" w:hAnsi="宋体" w:eastAsia="宋体" w:cs="宋体"/>
                <w:kern w:val="0"/>
                <w:sz w:val="21"/>
                <w:szCs w:val="21"/>
              </w:rPr>
              <w:t>7学分</w:t>
            </w:r>
          </w:p>
        </w:tc>
        <w:tc>
          <w:tcPr>
            <w:tcW w:w="320" w:type="pct"/>
            <w:vMerge w:val="restart"/>
            <w:vAlign w:val="center"/>
          </w:tcPr>
          <w:p>
            <w:pPr>
              <w:spacing w:line="283"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见注①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17" w:type="pct"/>
            <w:vMerge w:val="continue"/>
          </w:tcPr>
          <w:p>
            <w:pPr>
              <w:spacing w:line="283" w:lineRule="auto"/>
              <w:ind w:left="-42" w:leftChars="-20" w:right="-42" w:rightChars="-20"/>
              <w:jc w:val="left"/>
              <w:rPr>
                <w:rFonts w:hint="eastAsia" w:ascii="宋体" w:hAnsi="宋体" w:eastAsia="宋体" w:cs="宋体"/>
                <w:sz w:val="21"/>
                <w:szCs w:val="21"/>
              </w:rPr>
            </w:pPr>
          </w:p>
        </w:tc>
        <w:tc>
          <w:tcPr>
            <w:tcW w:w="433"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c>
          <w:tcPr>
            <w:tcW w:w="357"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2</w:t>
            </w:r>
          </w:p>
        </w:tc>
        <w:tc>
          <w:tcPr>
            <w:tcW w:w="659" w:type="pct"/>
            <w:gridSpan w:val="2"/>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141005</w:t>
            </w:r>
          </w:p>
        </w:tc>
        <w:tc>
          <w:tcPr>
            <w:tcW w:w="891" w:type="pct"/>
            <w:vAlign w:val="center"/>
          </w:tcPr>
          <w:p>
            <w:pPr>
              <w:widowControl/>
              <w:spacing w:line="283" w:lineRule="auto"/>
              <w:jc w:val="center"/>
              <w:rPr>
                <w:rFonts w:hint="eastAsia" w:ascii="宋体" w:hAnsi="宋体" w:eastAsia="宋体" w:cs="宋体"/>
                <w:sz w:val="21"/>
                <w:szCs w:val="21"/>
              </w:rPr>
            </w:pPr>
            <w:r>
              <w:rPr>
                <w:rFonts w:hint="eastAsia" w:ascii="宋体" w:hAnsi="宋体" w:eastAsia="宋体" w:cs="宋体"/>
                <w:sz w:val="21"/>
                <w:szCs w:val="21"/>
              </w:rPr>
              <w:t>PHLS600114</w:t>
            </w:r>
          </w:p>
        </w:tc>
        <w:tc>
          <w:tcPr>
            <w:tcW w:w="1387" w:type="pct"/>
            <w:vAlign w:val="center"/>
          </w:tcPr>
          <w:p>
            <w:pPr>
              <w:spacing w:line="283" w:lineRule="auto"/>
              <w:ind w:left="-42" w:leftChars="-20" w:right="-42" w:rightChars="-20"/>
              <w:rPr>
                <w:rFonts w:hint="eastAsia" w:ascii="宋体" w:hAnsi="宋体" w:eastAsia="宋体" w:cs="宋体"/>
                <w:sz w:val="21"/>
                <w:szCs w:val="21"/>
              </w:rPr>
            </w:pPr>
            <w:r>
              <w:rPr>
                <w:rFonts w:hint="eastAsia" w:ascii="宋体" w:hAnsi="宋体" w:eastAsia="宋体" w:cs="宋体"/>
                <w:sz w:val="21"/>
                <w:szCs w:val="21"/>
              </w:rPr>
              <w:t>自然辩证法概论</w:t>
            </w:r>
          </w:p>
        </w:tc>
        <w:tc>
          <w:tcPr>
            <w:tcW w:w="304"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w:t>
            </w:r>
          </w:p>
        </w:tc>
        <w:tc>
          <w:tcPr>
            <w:tcW w:w="427"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c>
          <w:tcPr>
            <w:tcW w:w="320"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17" w:type="pct"/>
            <w:vMerge w:val="continue"/>
          </w:tcPr>
          <w:p>
            <w:pPr>
              <w:spacing w:line="283" w:lineRule="auto"/>
              <w:ind w:left="-42" w:leftChars="-20" w:right="-42" w:rightChars="-20"/>
              <w:jc w:val="left"/>
              <w:rPr>
                <w:rFonts w:hint="eastAsia" w:ascii="宋体" w:hAnsi="宋体" w:eastAsia="宋体" w:cs="宋体"/>
                <w:sz w:val="21"/>
                <w:szCs w:val="21"/>
              </w:rPr>
            </w:pPr>
          </w:p>
        </w:tc>
        <w:tc>
          <w:tcPr>
            <w:tcW w:w="433"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c>
          <w:tcPr>
            <w:tcW w:w="357" w:type="pct"/>
            <w:vAlign w:val="center"/>
          </w:tcPr>
          <w:p>
            <w:pPr>
              <w:spacing w:line="283" w:lineRule="auto"/>
              <w:ind w:right="-42" w:rightChars="-20"/>
              <w:jc w:val="center"/>
              <w:rPr>
                <w:rFonts w:hint="eastAsia" w:ascii="宋体" w:hAnsi="宋体" w:eastAsia="宋体" w:cs="宋体"/>
                <w:sz w:val="21"/>
                <w:szCs w:val="21"/>
              </w:rPr>
            </w:pPr>
            <w:r>
              <w:rPr>
                <w:rFonts w:hint="eastAsia" w:ascii="宋体" w:hAnsi="宋体" w:eastAsia="宋体" w:cs="宋体"/>
                <w:sz w:val="21"/>
                <w:szCs w:val="21"/>
              </w:rPr>
              <w:t>3</w:t>
            </w:r>
          </w:p>
        </w:tc>
        <w:tc>
          <w:tcPr>
            <w:tcW w:w="659" w:type="pct"/>
            <w:gridSpan w:val="2"/>
            <w:vAlign w:val="center"/>
          </w:tcPr>
          <w:p>
            <w:pPr>
              <w:spacing w:line="286" w:lineRule="auto"/>
              <w:jc w:val="center"/>
              <w:rPr>
                <w:rFonts w:hint="eastAsia" w:ascii="宋体" w:hAnsi="宋体" w:eastAsia="宋体" w:cs="宋体"/>
                <w:sz w:val="21"/>
                <w:szCs w:val="21"/>
              </w:rPr>
            </w:pPr>
            <w:r>
              <w:rPr>
                <w:rFonts w:hint="eastAsia" w:ascii="宋体" w:hAnsi="宋体" w:eastAsia="宋体" w:cs="宋体"/>
                <w:sz w:val="21"/>
                <w:szCs w:val="21"/>
              </w:rPr>
              <w:t>011025</w:t>
            </w:r>
          </w:p>
        </w:tc>
        <w:tc>
          <w:tcPr>
            <w:tcW w:w="891" w:type="pct"/>
            <w:vAlign w:val="center"/>
          </w:tcPr>
          <w:p>
            <w:pPr>
              <w:widowControl/>
              <w:spacing w:line="286" w:lineRule="auto"/>
              <w:jc w:val="center"/>
              <w:rPr>
                <w:rFonts w:hint="eastAsia" w:ascii="宋体" w:hAnsi="宋体" w:eastAsia="宋体" w:cs="宋体"/>
                <w:sz w:val="21"/>
                <w:szCs w:val="21"/>
              </w:rPr>
            </w:pPr>
            <w:r>
              <w:rPr>
                <w:rFonts w:hint="eastAsia" w:ascii="宋体" w:hAnsi="宋体" w:eastAsia="宋体" w:cs="宋体"/>
                <w:sz w:val="21"/>
                <w:szCs w:val="21"/>
              </w:rPr>
              <w:t>SKZH600101</w:t>
            </w:r>
          </w:p>
        </w:tc>
        <w:tc>
          <w:tcPr>
            <w:tcW w:w="1387" w:type="pct"/>
            <w:vAlign w:val="center"/>
          </w:tcPr>
          <w:p>
            <w:pPr>
              <w:spacing w:line="286" w:lineRule="auto"/>
              <w:ind w:left="-42" w:leftChars="-20" w:right="-42" w:rightChars="-20"/>
              <w:rPr>
                <w:rFonts w:hint="eastAsia" w:ascii="宋体" w:hAnsi="宋体" w:eastAsia="宋体" w:cs="宋体"/>
                <w:sz w:val="21"/>
                <w:szCs w:val="21"/>
              </w:rPr>
            </w:pPr>
            <w:r>
              <w:rPr>
                <w:rFonts w:hint="eastAsia" w:ascii="宋体" w:hAnsi="宋体" w:eastAsia="宋体" w:cs="宋体"/>
                <w:sz w:val="21"/>
                <w:szCs w:val="21"/>
              </w:rPr>
              <w:t>工程伦理（一）</w:t>
            </w:r>
          </w:p>
        </w:tc>
        <w:tc>
          <w:tcPr>
            <w:tcW w:w="304" w:type="pct"/>
            <w:vAlign w:val="center"/>
          </w:tcPr>
          <w:p>
            <w:pPr>
              <w:spacing w:line="286"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2</w:t>
            </w:r>
          </w:p>
        </w:tc>
        <w:tc>
          <w:tcPr>
            <w:tcW w:w="427"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c>
          <w:tcPr>
            <w:tcW w:w="320"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17" w:type="pct"/>
            <w:vMerge w:val="continue"/>
          </w:tcPr>
          <w:p>
            <w:pPr>
              <w:spacing w:line="283" w:lineRule="auto"/>
              <w:ind w:left="-42" w:leftChars="-20" w:right="-42" w:rightChars="-20"/>
              <w:jc w:val="left"/>
              <w:rPr>
                <w:rFonts w:hint="eastAsia" w:ascii="宋体" w:hAnsi="宋体" w:eastAsia="宋体" w:cs="宋体"/>
                <w:sz w:val="21"/>
                <w:szCs w:val="21"/>
              </w:rPr>
            </w:pPr>
          </w:p>
        </w:tc>
        <w:tc>
          <w:tcPr>
            <w:tcW w:w="433"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c>
          <w:tcPr>
            <w:tcW w:w="357"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4</w:t>
            </w:r>
          </w:p>
        </w:tc>
        <w:tc>
          <w:tcPr>
            <w:tcW w:w="659" w:type="pct"/>
            <w:gridSpan w:val="2"/>
            <w:vAlign w:val="center"/>
          </w:tcPr>
          <w:p>
            <w:pPr>
              <w:spacing w:line="283" w:lineRule="auto"/>
              <w:ind w:right="-42" w:rightChars="-20"/>
              <w:jc w:val="center"/>
              <w:rPr>
                <w:rFonts w:hint="eastAsia" w:ascii="宋体" w:hAnsi="宋体" w:eastAsia="宋体" w:cs="宋体"/>
                <w:sz w:val="21"/>
                <w:szCs w:val="21"/>
              </w:rPr>
            </w:pPr>
            <w:r>
              <w:rPr>
                <w:rFonts w:hint="eastAsia" w:ascii="宋体" w:hAnsi="宋体" w:eastAsia="宋体" w:cs="宋体"/>
                <w:sz w:val="21"/>
                <w:szCs w:val="21"/>
              </w:rPr>
              <w:t>121068</w:t>
            </w:r>
          </w:p>
        </w:tc>
        <w:tc>
          <w:tcPr>
            <w:tcW w:w="891" w:type="pct"/>
            <w:vAlign w:val="center"/>
          </w:tcPr>
          <w:p>
            <w:pPr>
              <w:widowControl/>
              <w:spacing w:line="283" w:lineRule="auto"/>
              <w:jc w:val="center"/>
              <w:rPr>
                <w:rFonts w:hint="eastAsia" w:ascii="宋体" w:hAnsi="宋体" w:eastAsia="宋体" w:cs="宋体"/>
                <w:sz w:val="21"/>
                <w:szCs w:val="21"/>
              </w:rPr>
            </w:pPr>
            <w:r>
              <w:rPr>
                <w:rFonts w:hint="eastAsia" w:ascii="宋体" w:hAnsi="宋体" w:eastAsia="宋体" w:cs="宋体"/>
                <w:sz w:val="21"/>
                <w:szCs w:val="21"/>
              </w:rPr>
              <w:t>ENGL6021212</w:t>
            </w:r>
          </w:p>
        </w:tc>
        <w:tc>
          <w:tcPr>
            <w:tcW w:w="1387" w:type="pct"/>
            <w:vAlign w:val="center"/>
          </w:tcPr>
          <w:p>
            <w:pPr>
              <w:spacing w:line="283" w:lineRule="auto"/>
              <w:ind w:right="-42" w:rightChars="-20"/>
              <w:rPr>
                <w:rFonts w:hint="eastAsia" w:ascii="宋体" w:hAnsi="宋体" w:eastAsia="宋体" w:cs="宋体"/>
                <w:sz w:val="21"/>
                <w:szCs w:val="21"/>
              </w:rPr>
            </w:pPr>
            <w:r>
              <w:rPr>
                <w:rFonts w:hint="eastAsia" w:ascii="宋体" w:hAnsi="宋体" w:eastAsia="宋体" w:cs="宋体"/>
                <w:sz w:val="21"/>
                <w:szCs w:val="21"/>
              </w:rPr>
              <w:t>医学英语</w:t>
            </w:r>
          </w:p>
        </w:tc>
        <w:tc>
          <w:tcPr>
            <w:tcW w:w="304"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2</w:t>
            </w:r>
          </w:p>
        </w:tc>
        <w:tc>
          <w:tcPr>
            <w:tcW w:w="427"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c>
          <w:tcPr>
            <w:tcW w:w="320"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17" w:type="pct"/>
            <w:vMerge w:val="continue"/>
          </w:tcPr>
          <w:p>
            <w:pPr>
              <w:spacing w:line="283" w:lineRule="auto"/>
              <w:ind w:right="-42" w:rightChars="-20"/>
              <w:jc w:val="left"/>
              <w:rPr>
                <w:rFonts w:hint="eastAsia" w:ascii="宋体" w:hAnsi="宋体" w:eastAsia="宋体" w:cs="宋体"/>
                <w:sz w:val="21"/>
                <w:szCs w:val="21"/>
              </w:rPr>
            </w:pPr>
          </w:p>
        </w:tc>
        <w:tc>
          <w:tcPr>
            <w:tcW w:w="433" w:type="pct"/>
            <w:vMerge w:val="restart"/>
            <w:vAlign w:val="center"/>
          </w:tcPr>
          <w:p>
            <w:pPr>
              <w:spacing w:line="283" w:lineRule="auto"/>
              <w:ind w:right="-42" w:rightChars="-20"/>
              <w:jc w:val="center"/>
              <w:rPr>
                <w:rFonts w:hint="eastAsia" w:ascii="宋体" w:hAnsi="宋体" w:eastAsia="宋体" w:cs="宋体"/>
                <w:sz w:val="21"/>
                <w:szCs w:val="21"/>
              </w:rPr>
            </w:pPr>
            <w:r>
              <w:rPr>
                <w:rFonts w:hint="eastAsia" w:ascii="宋体" w:hAnsi="宋体" w:eastAsia="宋体" w:cs="宋体"/>
                <w:sz w:val="21"/>
                <w:szCs w:val="21"/>
              </w:rPr>
              <w:t>专业</w:t>
            </w:r>
          </w:p>
          <w:p>
            <w:pPr>
              <w:spacing w:line="283" w:lineRule="auto"/>
              <w:ind w:right="-42" w:rightChars="-20"/>
              <w:jc w:val="center"/>
              <w:rPr>
                <w:rFonts w:hint="eastAsia" w:ascii="宋体" w:hAnsi="宋体" w:eastAsia="宋体" w:cs="宋体"/>
                <w:sz w:val="21"/>
                <w:szCs w:val="21"/>
              </w:rPr>
            </w:pPr>
            <w:r>
              <w:rPr>
                <w:rFonts w:hint="eastAsia" w:ascii="宋体" w:hAnsi="宋体" w:eastAsia="宋体" w:cs="宋体"/>
                <w:sz w:val="21"/>
                <w:szCs w:val="21"/>
              </w:rPr>
              <w:t>基础课</w:t>
            </w:r>
          </w:p>
        </w:tc>
        <w:tc>
          <w:tcPr>
            <w:tcW w:w="357"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w:t>
            </w:r>
          </w:p>
        </w:tc>
        <w:tc>
          <w:tcPr>
            <w:tcW w:w="659" w:type="pct"/>
            <w:gridSpan w:val="2"/>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152050</w:t>
            </w:r>
          </w:p>
        </w:tc>
        <w:tc>
          <w:tcPr>
            <w:tcW w:w="891" w:type="pct"/>
            <w:vAlign w:val="center"/>
          </w:tcPr>
          <w:p>
            <w:pPr>
              <w:widowControl/>
              <w:spacing w:line="283" w:lineRule="auto"/>
              <w:jc w:val="center"/>
              <w:rPr>
                <w:rFonts w:hint="eastAsia" w:ascii="宋体" w:hAnsi="宋体" w:eastAsia="宋体" w:cs="宋体"/>
                <w:sz w:val="21"/>
                <w:szCs w:val="21"/>
              </w:rPr>
            </w:pPr>
            <w:r>
              <w:rPr>
                <w:rFonts w:hint="eastAsia" w:ascii="宋体" w:hAnsi="宋体" w:eastAsia="宋体" w:cs="宋体"/>
                <w:sz w:val="21"/>
                <w:szCs w:val="21"/>
              </w:rPr>
              <w:t>PUBH610715</w:t>
            </w:r>
          </w:p>
        </w:tc>
        <w:tc>
          <w:tcPr>
            <w:tcW w:w="1387" w:type="pct"/>
            <w:vAlign w:val="center"/>
          </w:tcPr>
          <w:p>
            <w:pPr>
              <w:widowControl/>
              <w:spacing w:line="283" w:lineRule="auto"/>
              <w:rPr>
                <w:rFonts w:hint="eastAsia" w:ascii="宋体" w:hAnsi="宋体" w:eastAsia="宋体" w:cs="宋体"/>
                <w:sz w:val="21"/>
                <w:szCs w:val="21"/>
              </w:rPr>
            </w:pPr>
            <w:r>
              <w:rPr>
                <w:rFonts w:hint="eastAsia" w:ascii="宋体" w:hAnsi="宋体" w:eastAsia="宋体" w:cs="宋体"/>
                <w:sz w:val="21"/>
                <w:szCs w:val="21"/>
              </w:rPr>
              <w:t>医学统计学</w:t>
            </w:r>
          </w:p>
        </w:tc>
        <w:tc>
          <w:tcPr>
            <w:tcW w:w="304"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2</w:t>
            </w:r>
          </w:p>
        </w:tc>
        <w:tc>
          <w:tcPr>
            <w:tcW w:w="427" w:type="pct"/>
            <w:vMerge w:val="restart"/>
            <w:vAlign w:val="center"/>
          </w:tcPr>
          <w:p>
            <w:pPr>
              <w:spacing w:line="283" w:lineRule="auto"/>
              <w:ind w:right="-42" w:rightChars="-20"/>
              <w:jc w:val="center"/>
              <w:rPr>
                <w:rFonts w:hint="eastAsia" w:ascii="宋体" w:hAnsi="宋体" w:eastAsia="宋体" w:cs="宋体"/>
                <w:sz w:val="21"/>
                <w:szCs w:val="21"/>
              </w:rPr>
            </w:pPr>
            <w:r>
              <w:rPr>
                <w:rFonts w:hint="eastAsia" w:ascii="宋体" w:hAnsi="宋体" w:eastAsia="宋体" w:cs="宋体"/>
                <w:sz w:val="21"/>
                <w:szCs w:val="21"/>
              </w:rPr>
              <w:t>必修</w:t>
            </w:r>
          </w:p>
          <w:p>
            <w:pPr>
              <w:spacing w:line="283" w:lineRule="auto"/>
              <w:ind w:right="-42" w:rightChars="-20"/>
              <w:jc w:val="center"/>
              <w:rPr>
                <w:rFonts w:hint="eastAsia" w:ascii="宋体" w:hAnsi="宋体" w:eastAsia="宋体" w:cs="宋体"/>
                <w:sz w:val="21"/>
                <w:szCs w:val="21"/>
              </w:rPr>
            </w:pPr>
            <w:r>
              <w:rPr>
                <w:rFonts w:hint="eastAsia" w:ascii="宋体" w:hAnsi="宋体" w:eastAsia="宋体" w:cs="宋体"/>
                <w:b/>
                <w:sz w:val="21"/>
                <w:szCs w:val="21"/>
              </w:rPr>
              <w:t>≧</w:t>
            </w:r>
            <w:r>
              <w:rPr>
                <w:rFonts w:hint="eastAsia" w:ascii="宋体" w:hAnsi="宋体" w:eastAsia="宋体" w:cs="宋体"/>
                <w:sz w:val="21"/>
                <w:szCs w:val="21"/>
              </w:rPr>
              <w:t>4学分</w:t>
            </w:r>
          </w:p>
        </w:tc>
        <w:tc>
          <w:tcPr>
            <w:tcW w:w="320" w:type="pct"/>
            <w:vMerge w:val="restar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见注</w:t>
            </w:r>
            <w:r>
              <w:rPr>
                <w:rFonts w:hint="eastAsia" w:ascii="宋体" w:hAnsi="宋体" w:eastAsia="宋体" w:cs="宋体"/>
                <w:kern w:val="0"/>
                <w:sz w:val="21"/>
                <w:szCs w:val="21"/>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17" w:type="pct"/>
            <w:vMerge w:val="continue"/>
          </w:tcPr>
          <w:p>
            <w:pPr>
              <w:spacing w:line="283" w:lineRule="auto"/>
              <w:ind w:left="-42" w:leftChars="-20" w:right="-42" w:rightChars="-20"/>
              <w:jc w:val="left"/>
              <w:rPr>
                <w:rFonts w:hint="eastAsia" w:ascii="宋体" w:hAnsi="宋体" w:eastAsia="宋体" w:cs="宋体"/>
                <w:sz w:val="21"/>
                <w:szCs w:val="21"/>
              </w:rPr>
            </w:pPr>
          </w:p>
        </w:tc>
        <w:tc>
          <w:tcPr>
            <w:tcW w:w="433"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c>
          <w:tcPr>
            <w:tcW w:w="357"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2</w:t>
            </w:r>
          </w:p>
        </w:tc>
        <w:tc>
          <w:tcPr>
            <w:tcW w:w="659" w:type="pct"/>
            <w:gridSpan w:val="2"/>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152075</w:t>
            </w:r>
          </w:p>
        </w:tc>
        <w:tc>
          <w:tcPr>
            <w:tcW w:w="891" w:type="pct"/>
            <w:vAlign w:val="center"/>
          </w:tcPr>
          <w:p>
            <w:pPr>
              <w:widowControl/>
              <w:spacing w:line="283" w:lineRule="auto"/>
              <w:jc w:val="center"/>
              <w:rPr>
                <w:rFonts w:hint="eastAsia" w:ascii="宋体" w:hAnsi="宋体" w:eastAsia="宋体" w:cs="宋体"/>
                <w:sz w:val="21"/>
                <w:szCs w:val="21"/>
              </w:rPr>
            </w:pPr>
            <w:r>
              <w:rPr>
                <w:rFonts w:hint="eastAsia" w:ascii="宋体" w:hAnsi="宋体" w:eastAsia="宋体" w:cs="宋体"/>
                <w:sz w:val="21"/>
                <w:szCs w:val="21"/>
              </w:rPr>
              <w:t>BASM611715</w:t>
            </w:r>
          </w:p>
        </w:tc>
        <w:tc>
          <w:tcPr>
            <w:tcW w:w="1387" w:type="pct"/>
            <w:vAlign w:val="center"/>
          </w:tcPr>
          <w:p>
            <w:pPr>
              <w:widowControl/>
              <w:spacing w:line="283" w:lineRule="auto"/>
              <w:rPr>
                <w:rFonts w:hint="eastAsia" w:ascii="宋体" w:hAnsi="宋体" w:eastAsia="宋体" w:cs="宋体"/>
                <w:sz w:val="21"/>
                <w:szCs w:val="21"/>
              </w:rPr>
            </w:pPr>
            <w:r>
              <w:rPr>
                <w:rFonts w:hint="eastAsia" w:ascii="宋体" w:hAnsi="宋体" w:eastAsia="宋体" w:cs="宋体"/>
                <w:sz w:val="21"/>
                <w:szCs w:val="21"/>
              </w:rPr>
              <w:t>医学科学研究导论</w:t>
            </w:r>
          </w:p>
        </w:tc>
        <w:tc>
          <w:tcPr>
            <w:tcW w:w="304"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2</w:t>
            </w:r>
          </w:p>
        </w:tc>
        <w:tc>
          <w:tcPr>
            <w:tcW w:w="427"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c>
          <w:tcPr>
            <w:tcW w:w="320"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17" w:type="pct"/>
            <w:vMerge w:val="continue"/>
          </w:tcPr>
          <w:p>
            <w:pPr>
              <w:spacing w:line="283" w:lineRule="auto"/>
              <w:ind w:left="-42" w:leftChars="-20" w:right="-42" w:rightChars="-20"/>
              <w:jc w:val="left"/>
              <w:rPr>
                <w:rFonts w:hint="eastAsia" w:ascii="宋体" w:hAnsi="宋体" w:eastAsia="宋体" w:cs="宋体"/>
                <w:sz w:val="21"/>
                <w:szCs w:val="21"/>
              </w:rPr>
            </w:pPr>
          </w:p>
        </w:tc>
        <w:tc>
          <w:tcPr>
            <w:tcW w:w="433"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c>
          <w:tcPr>
            <w:tcW w:w="357"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3</w:t>
            </w:r>
          </w:p>
        </w:tc>
        <w:tc>
          <w:tcPr>
            <w:tcW w:w="659" w:type="pct"/>
            <w:gridSpan w:val="2"/>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152120</w:t>
            </w:r>
          </w:p>
        </w:tc>
        <w:tc>
          <w:tcPr>
            <w:tcW w:w="891" w:type="pct"/>
            <w:vAlign w:val="center"/>
          </w:tcPr>
          <w:p>
            <w:pPr>
              <w:widowControl/>
              <w:spacing w:line="283" w:lineRule="auto"/>
              <w:jc w:val="center"/>
              <w:rPr>
                <w:rFonts w:hint="eastAsia" w:ascii="宋体" w:hAnsi="宋体" w:eastAsia="宋体" w:cs="宋体"/>
                <w:sz w:val="21"/>
                <w:szCs w:val="21"/>
              </w:rPr>
            </w:pPr>
            <w:r>
              <w:rPr>
                <w:rFonts w:hint="eastAsia" w:ascii="宋体" w:hAnsi="宋体" w:eastAsia="宋体" w:cs="宋体"/>
                <w:sz w:val="21"/>
                <w:szCs w:val="21"/>
              </w:rPr>
              <w:t>BASM612015</w:t>
            </w:r>
          </w:p>
        </w:tc>
        <w:tc>
          <w:tcPr>
            <w:tcW w:w="1387" w:type="pct"/>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医用生物信息基础</w:t>
            </w:r>
          </w:p>
        </w:tc>
        <w:tc>
          <w:tcPr>
            <w:tcW w:w="304"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w:t>
            </w:r>
          </w:p>
        </w:tc>
        <w:tc>
          <w:tcPr>
            <w:tcW w:w="427" w:type="pct"/>
            <w:vMerge w:val="restart"/>
            <w:vAlign w:val="center"/>
          </w:tcPr>
          <w:p>
            <w:pPr>
              <w:spacing w:line="283" w:lineRule="auto"/>
              <w:ind w:right="-42" w:rightChars="-20"/>
              <w:jc w:val="center"/>
              <w:rPr>
                <w:rFonts w:hint="eastAsia" w:ascii="宋体" w:hAnsi="宋体" w:eastAsia="宋体" w:cs="宋体"/>
                <w:sz w:val="21"/>
                <w:szCs w:val="21"/>
              </w:rPr>
            </w:pPr>
            <w:r>
              <w:rPr>
                <w:rFonts w:hint="eastAsia" w:ascii="宋体" w:hAnsi="宋体" w:eastAsia="宋体" w:cs="宋体"/>
                <w:sz w:val="21"/>
                <w:szCs w:val="21"/>
              </w:rPr>
              <w:t>必修</w:t>
            </w:r>
          </w:p>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9学分</w:t>
            </w:r>
          </w:p>
        </w:tc>
        <w:tc>
          <w:tcPr>
            <w:tcW w:w="320"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17" w:type="pct"/>
            <w:vMerge w:val="continue"/>
          </w:tcPr>
          <w:p>
            <w:pPr>
              <w:spacing w:line="283" w:lineRule="auto"/>
              <w:ind w:left="-42" w:leftChars="-20" w:right="-42" w:rightChars="-20"/>
              <w:jc w:val="left"/>
              <w:rPr>
                <w:rFonts w:hint="eastAsia" w:ascii="宋体" w:hAnsi="宋体" w:eastAsia="宋体" w:cs="宋体"/>
                <w:sz w:val="21"/>
                <w:szCs w:val="21"/>
              </w:rPr>
            </w:pPr>
          </w:p>
        </w:tc>
        <w:tc>
          <w:tcPr>
            <w:tcW w:w="433"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c>
          <w:tcPr>
            <w:tcW w:w="357"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4</w:t>
            </w:r>
          </w:p>
        </w:tc>
        <w:tc>
          <w:tcPr>
            <w:tcW w:w="659" w:type="pct"/>
            <w:gridSpan w:val="2"/>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152125</w:t>
            </w:r>
          </w:p>
        </w:tc>
        <w:tc>
          <w:tcPr>
            <w:tcW w:w="891" w:type="pct"/>
            <w:vAlign w:val="center"/>
          </w:tcPr>
          <w:p>
            <w:pPr>
              <w:widowControl/>
              <w:spacing w:line="283" w:lineRule="auto"/>
              <w:jc w:val="center"/>
              <w:rPr>
                <w:rFonts w:hint="eastAsia" w:ascii="宋体" w:hAnsi="宋体" w:eastAsia="宋体" w:cs="宋体"/>
                <w:sz w:val="21"/>
                <w:szCs w:val="21"/>
              </w:rPr>
            </w:pPr>
            <w:r>
              <w:rPr>
                <w:rFonts w:hint="eastAsia" w:ascii="宋体" w:hAnsi="宋体" w:eastAsia="宋体" w:cs="宋体"/>
                <w:sz w:val="21"/>
                <w:szCs w:val="21"/>
              </w:rPr>
              <w:t>PHMA610715</w:t>
            </w:r>
          </w:p>
        </w:tc>
        <w:tc>
          <w:tcPr>
            <w:tcW w:w="1387" w:type="pct"/>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生物分析技术</w:t>
            </w:r>
          </w:p>
        </w:tc>
        <w:tc>
          <w:tcPr>
            <w:tcW w:w="304"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2</w:t>
            </w:r>
          </w:p>
        </w:tc>
        <w:tc>
          <w:tcPr>
            <w:tcW w:w="427"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c>
          <w:tcPr>
            <w:tcW w:w="320"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17" w:type="pct"/>
            <w:vMerge w:val="continue"/>
          </w:tcPr>
          <w:p>
            <w:pPr>
              <w:spacing w:line="283" w:lineRule="auto"/>
              <w:ind w:left="-42" w:leftChars="-20" w:right="-42" w:rightChars="-20"/>
              <w:jc w:val="left"/>
              <w:rPr>
                <w:rFonts w:hint="eastAsia" w:ascii="宋体" w:hAnsi="宋体" w:eastAsia="宋体" w:cs="宋体"/>
                <w:sz w:val="21"/>
                <w:szCs w:val="21"/>
              </w:rPr>
            </w:pPr>
          </w:p>
        </w:tc>
        <w:tc>
          <w:tcPr>
            <w:tcW w:w="433"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c>
          <w:tcPr>
            <w:tcW w:w="357"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5</w:t>
            </w:r>
          </w:p>
        </w:tc>
        <w:tc>
          <w:tcPr>
            <w:tcW w:w="659" w:type="pct"/>
            <w:gridSpan w:val="2"/>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152126</w:t>
            </w:r>
          </w:p>
        </w:tc>
        <w:tc>
          <w:tcPr>
            <w:tcW w:w="891" w:type="pct"/>
            <w:vAlign w:val="center"/>
          </w:tcPr>
          <w:p>
            <w:pPr>
              <w:widowControl/>
              <w:spacing w:line="283" w:lineRule="auto"/>
              <w:jc w:val="center"/>
              <w:rPr>
                <w:rFonts w:hint="eastAsia" w:ascii="宋体" w:hAnsi="宋体" w:eastAsia="宋体" w:cs="宋体"/>
                <w:sz w:val="21"/>
                <w:szCs w:val="21"/>
              </w:rPr>
            </w:pPr>
            <w:r>
              <w:rPr>
                <w:rFonts w:hint="eastAsia" w:ascii="宋体" w:hAnsi="宋体" w:eastAsia="宋体" w:cs="宋体"/>
                <w:sz w:val="21"/>
                <w:szCs w:val="21"/>
              </w:rPr>
              <w:t>PHMA610815</w:t>
            </w:r>
          </w:p>
        </w:tc>
        <w:tc>
          <w:tcPr>
            <w:tcW w:w="1387" w:type="pct"/>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现代分离技术</w:t>
            </w:r>
          </w:p>
        </w:tc>
        <w:tc>
          <w:tcPr>
            <w:tcW w:w="304"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2</w:t>
            </w:r>
          </w:p>
        </w:tc>
        <w:tc>
          <w:tcPr>
            <w:tcW w:w="427"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c>
          <w:tcPr>
            <w:tcW w:w="320"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17" w:type="pct"/>
            <w:vMerge w:val="continue"/>
          </w:tcPr>
          <w:p>
            <w:pPr>
              <w:spacing w:line="283" w:lineRule="auto"/>
              <w:ind w:left="-42" w:leftChars="-20" w:right="-42" w:rightChars="-20"/>
              <w:jc w:val="left"/>
              <w:rPr>
                <w:rFonts w:hint="eastAsia" w:ascii="宋体" w:hAnsi="宋体" w:eastAsia="宋体" w:cs="宋体"/>
                <w:sz w:val="21"/>
                <w:szCs w:val="21"/>
              </w:rPr>
            </w:pPr>
          </w:p>
        </w:tc>
        <w:tc>
          <w:tcPr>
            <w:tcW w:w="433"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c>
          <w:tcPr>
            <w:tcW w:w="357"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6</w:t>
            </w:r>
          </w:p>
        </w:tc>
        <w:tc>
          <w:tcPr>
            <w:tcW w:w="659" w:type="pct"/>
            <w:gridSpan w:val="2"/>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152178</w:t>
            </w:r>
          </w:p>
        </w:tc>
        <w:tc>
          <w:tcPr>
            <w:tcW w:w="891" w:type="pct"/>
            <w:vAlign w:val="center"/>
          </w:tcPr>
          <w:p>
            <w:pPr>
              <w:widowControl/>
              <w:spacing w:line="283" w:lineRule="auto"/>
              <w:jc w:val="center"/>
              <w:rPr>
                <w:rFonts w:hint="eastAsia" w:ascii="宋体" w:hAnsi="宋体" w:eastAsia="宋体" w:cs="宋体"/>
                <w:sz w:val="21"/>
                <w:szCs w:val="21"/>
              </w:rPr>
            </w:pPr>
            <w:r>
              <w:rPr>
                <w:rFonts w:hint="eastAsia" w:ascii="宋体" w:hAnsi="宋体" w:eastAsia="宋体" w:cs="宋体"/>
                <w:sz w:val="21"/>
                <w:szCs w:val="21"/>
              </w:rPr>
              <w:t>PHMA612915</w:t>
            </w:r>
          </w:p>
        </w:tc>
        <w:tc>
          <w:tcPr>
            <w:tcW w:w="1387" w:type="pct"/>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药学研究方法</w:t>
            </w:r>
          </w:p>
        </w:tc>
        <w:tc>
          <w:tcPr>
            <w:tcW w:w="304"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2</w:t>
            </w:r>
          </w:p>
        </w:tc>
        <w:tc>
          <w:tcPr>
            <w:tcW w:w="427"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c>
          <w:tcPr>
            <w:tcW w:w="320"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17" w:type="pct"/>
            <w:vMerge w:val="continue"/>
          </w:tcPr>
          <w:p>
            <w:pPr>
              <w:spacing w:line="283" w:lineRule="auto"/>
              <w:ind w:left="-42" w:leftChars="-20" w:right="-42" w:rightChars="-20"/>
              <w:jc w:val="left"/>
              <w:rPr>
                <w:rFonts w:hint="eastAsia" w:ascii="宋体" w:hAnsi="宋体" w:eastAsia="宋体" w:cs="宋体"/>
                <w:sz w:val="21"/>
                <w:szCs w:val="21"/>
              </w:rPr>
            </w:pPr>
          </w:p>
        </w:tc>
        <w:tc>
          <w:tcPr>
            <w:tcW w:w="433"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c>
          <w:tcPr>
            <w:tcW w:w="357"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7</w:t>
            </w:r>
          </w:p>
        </w:tc>
        <w:tc>
          <w:tcPr>
            <w:tcW w:w="659" w:type="pct"/>
            <w:gridSpan w:val="2"/>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152158</w:t>
            </w:r>
          </w:p>
        </w:tc>
        <w:tc>
          <w:tcPr>
            <w:tcW w:w="891" w:type="pct"/>
            <w:vAlign w:val="center"/>
          </w:tcPr>
          <w:p>
            <w:pPr>
              <w:widowControl/>
              <w:spacing w:line="283" w:lineRule="auto"/>
              <w:jc w:val="center"/>
              <w:rPr>
                <w:rFonts w:hint="eastAsia" w:ascii="宋体" w:hAnsi="宋体" w:eastAsia="宋体" w:cs="宋体"/>
                <w:sz w:val="21"/>
                <w:szCs w:val="21"/>
              </w:rPr>
            </w:pPr>
            <w:r>
              <w:rPr>
                <w:rFonts w:hint="eastAsia" w:ascii="宋体" w:hAnsi="宋体" w:eastAsia="宋体" w:cs="宋体"/>
                <w:sz w:val="21"/>
                <w:szCs w:val="21"/>
              </w:rPr>
              <w:t>PHMA670115</w:t>
            </w:r>
          </w:p>
        </w:tc>
        <w:tc>
          <w:tcPr>
            <w:tcW w:w="1387" w:type="pct"/>
            <w:vAlign w:val="center"/>
          </w:tcPr>
          <w:p>
            <w:pPr>
              <w:widowControl/>
              <w:rPr>
                <w:rFonts w:hint="eastAsia" w:ascii="宋体" w:hAnsi="宋体" w:eastAsia="宋体" w:cs="宋体"/>
                <w:kern w:val="0"/>
                <w:sz w:val="21"/>
                <w:szCs w:val="21"/>
              </w:rPr>
            </w:pPr>
            <w:r>
              <w:rPr>
                <w:rFonts w:hint="eastAsia" w:ascii="宋体" w:hAnsi="宋体" w:eastAsia="宋体" w:cs="宋体"/>
                <w:kern w:val="0"/>
                <w:sz w:val="21"/>
                <w:szCs w:val="21"/>
              </w:rPr>
              <w:t>现代制剂技术</w:t>
            </w:r>
          </w:p>
        </w:tc>
        <w:tc>
          <w:tcPr>
            <w:tcW w:w="304"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2</w:t>
            </w:r>
          </w:p>
        </w:tc>
        <w:tc>
          <w:tcPr>
            <w:tcW w:w="427"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c>
          <w:tcPr>
            <w:tcW w:w="320"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17" w:type="pct"/>
            <w:vMerge w:val="continue"/>
          </w:tcPr>
          <w:p>
            <w:pPr>
              <w:spacing w:line="283" w:lineRule="auto"/>
              <w:ind w:left="-42" w:leftChars="-20" w:right="-42" w:rightChars="-20"/>
              <w:jc w:val="left"/>
              <w:rPr>
                <w:rFonts w:hint="eastAsia" w:ascii="宋体" w:hAnsi="宋体" w:eastAsia="宋体" w:cs="宋体"/>
                <w:sz w:val="21"/>
                <w:szCs w:val="21"/>
              </w:rPr>
            </w:pPr>
          </w:p>
        </w:tc>
        <w:tc>
          <w:tcPr>
            <w:tcW w:w="433" w:type="pct"/>
            <w:vMerge w:val="restar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kern w:val="0"/>
                <w:sz w:val="21"/>
                <w:szCs w:val="21"/>
              </w:rPr>
              <w:t>专业必修课</w:t>
            </w:r>
          </w:p>
        </w:tc>
        <w:tc>
          <w:tcPr>
            <w:tcW w:w="357"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w:t>
            </w:r>
          </w:p>
        </w:tc>
        <w:tc>
          <w:tcPr>
            <w:tcW w:w="659" w:type="pct"/>
            <w:gridSpan w:val="2"/>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152131</w:t>
            </w:r>
          </w:p>
        </w:tc>
        <w:tc>
          <w:tcPr>
            <w:tcW w:w="891" w:type="pct"/>
            <w:vAlign w:val="center"/>
          </w:tcPr>
          <w:p>
            <w:pPr>
              <w:widowControl/>
              <w:spacing w:line="283" w:lineRule="auto"/>
              <w:jc w:val="center"/>
              <w:rPr>
                <w:rFonts w:hint="eastAsia" w:ascii="宋体" w:hAnsi="宋体" w:eastAsia="宋体" w:cs="宋体"/>
                <w:sz w:val="21"/>
                <w:szCs w:val="21"/>
              </w:rPr>
            </w:pPr>
            <w:r>
              <w:rPr>
                <w:rFonts w:hint="eastAsia" w:ascii="宋体" w:hAnsi="宋体" w:eastAsia="宋体" w:cs="宋体"/>
                <w:sz w:val="21"/>
                <w:szCs w:val="21"/>
              </w:rPr>
              <w:t>PHMA710615</w:t>
            </w:r>
          </w:p>
        </w:tc>
        <w:tc>
          <w:tcPr>
            <w:tcW w:w="1387" w:type="pct"/>
            <w:vAlign w:val="center"/>
          </w:tcPr>
          <w:p>
            <w:pPr>
              <w:widowControl/>
              <w:spacing w:line="283" w:lineRule="auto"/>
              <w:rPr>
                <w:rFonts w:hint="eastAsia" w:ascii="宋体" w:hAnsi="宋体" w:eastAsia="宋体" w:cs="宋体"/>
                <w:sz w:val="21"/>
                <w:szCs w:val="21"/>
              </w:rPr>
            </w:pPr>
            <w:r>
              <w:rPr>
                <w:rFonts w:hint="eastAsia" w:ascii="宋体" w:hAnsi="宋体" w:eastAsia="宋体" w:cs="宋体"/>
                <w:sz w:val="21"/>
                <w:szCs w:val="21"/>
              </w:rPr>
              <w:t>药物化学（2）</w:t>
            </w:r>
          </w:p>
        </w:tc>
        <w:tc>
          <w:tcPr>
            <w:tcW w:w="304"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2</w:t>
            </w:r>
          </w:p>
        </w:tc>
        <w:tc>
          <w:tcPr>
            <w:tcW w:w="427" w:type="pct"/>
            <w:vMerge w:val="restar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必选</w:t>
            </w:r>
          </w:p>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2学分</w:t>
            </w:r>
          </w:p>
        </w:tc>
        <w:tc>
          <w:tcPr>
            <w:tcW w:w="320" w:type="pct"/>
            <w:vMerge w:val="restart"/>
            <w:vAlign w:val="center"/>
          </w:tcPr>
          <w:p>
            <w:pPr>
              <w:spacing w:line="283" w:lineRule="auto"/>
              <w:ind w:left="-42" w:leftChars="-20" w:right="-42" w:rightChars="-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17" w:type="pct"/>
            <w:vMerge w:val="continue"/>
          </w:tcPr>
          <w:p>
            <w:pPr>
              <w:spacing w:line="283" w:lineRule="auto"/>
              <w:ind w:left="-42" w:leftChars="-20" w:right="-42" w:rightChars="-20"/>
              <w:jc w:val="left"/>
              <w:rPr>
                <w:rFonts w:hint="eastAsia" w:ascii="宋体" w:hAnsi="宋体" w:eastAsia="宋体" w:cs="宋体"/>
                <w:sz w:val="21"/>
                <w:szCs w:val="21"/>
              </w:rPr>
            </w:pPr>
          </w:p>
        </w:tc>
        <w:tc>
          <w:tcPr>
            <w:tcW w:w="433"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c>
          <w:tcPr>
            <w:tcW w:w="357"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2</w:t>
            </w:r>
          </w:p>
        </w:tc>
        <w:tc>
          <w:tcPr>
            <w:tcW w:w="659" w:type="pct"/>
            <w:gridSpan w:val="2"/>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172014</w:t>
            </w:r>
          </w:p>
        </w:tc>
        <w:tc>
          <w:tcPr>
            <w:tcW w:w="891" w:type="pct"/>
            <w:vAlign w:val="center"/>
          </w:tcPr>
          <w:p>
            <w:pPr>
              <w:widowControl/>
              <w:spacing w:line="283" w:lineRule="auto"/>
              <w:jc w:val="center"/>
              <w:rPr>
                <w:rFonts w:hint="eastAsia" w:ascii="宋体" w:hAnsi="宋体" w:eastAsia="宋体" w:cs="宋体"/>
                <w:sz w:val="21"/>
                <w:szCs w:val="21"/>
              </w:rPr>
            </w:pPr>
            <w:r>
              <w:rPr>
                <w:rFonts w:hint="eastAsia" w:ascii="宋体" w:hAnsi="宋体" w:eastAsia="宋体" w:cs="宋体"/>
                <w:sz w:val="21"/>
                <w:szCs w:val="21"/>
              </w:rPr>
              <w:t>PHMA710515</w:t>
            </w:r>
          </w:p>
        </w:tc>
        <w:tc>
          <w:tcPr>
            <w:tcW w:w="1387" w:type="pct"/>
            <w:vAlign w:val="center"/>
          </w:tcPr>
          <w:p>
            <w:pPr>
              <w:widowControl/>
              <w:spacing w:line="283" w:lineRule="auto"/>
              <w:rPr>
                <w:rFonts w:hint="eastAsia" w:ascii="宋体" w:hAnsi="宋体" w:eastAsia="宋体" w:cs="宋体"/>
                <w:sz w:val="21"/>
                <w:szCs w:val="21"/>
              </w:rPr>
            </w:pPr>
            <w:r>
              <w:rPr>
                <w:rFonts w:hint="eastAsia" w:ascii="宋体" w:hAnsi="宋体" w:eastAsia="宋体" w:cs="宋体"/>
                <w:sz w:val="21"/>
                <w:szCs w:val="21"/>
              </w:rPr>
              <w:t>高级药剂学（2）</w:t>
            </w:r>
          </w:p>
        </w:tc>
        <w:tc>
          <w:tcPr>
            <w:tcW w:w="304"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2</w:t>
            </w:r>
          </w:p>
        </w:tc>
        <w:tc>
          <w:tcPr>
            <w:tcW w:w="427"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c>
          <w:tcPr>
            <w:tcW w:w="320"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17" w:type="pct"/>
            <w:vMerge w:val="continue"/>
          </w:tcPr>
          <w:p>
            <w:pPr>
              <w:spacing w:line="283" w:lineRule="auto"/>
              <w:ind w:left="-42" w:leftChars="-20" w:right="-42" w:rightChars="-20"/>
              <w:jc w:val="left"/>
              <w:rPr>
                <w:rFonts w:hint="eastAsia" w:ascii="宋体" w:hAnsi="宋体" w:eastAsia="宋体" w:cs="宋体"/>
                <w:sz w:val="21"/>
                <w:szCs w:val="21"/>
              </w:rPr>
            </w:pPr>
          </w:p>
        </w:tc>
        <w:tc>
          <w:tcPr>
            <w:tcW w:w="433"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c>
          <w:tcPr>
            <w:tcW w:w="357"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3</w:t>
            </w:r>
          </w:p>
        </w:tc>
        <w:tc>
          <w:tcPr>
            <w:tcW w:w="659" w:type="pct"/>
            <w:gridSpan w:val="2"/>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172005</w:t>
            </w:r>
          </w:p>
        </w:tc>
        <w:tc>
          <w:tcPr>
            <w:tcW w:w="891" w:type="pct"/>
            <w:vAlign w:val="center"/>
          </w:tcPr>
          <w:p>
            <w:pPr>
              <w:widowControl/>
              <w:spacing w:line="283" w:lineRule="auto"/>
              <w:jc w:val="center"/>
              <w:rPr>
                <w:rFonts w:hint="eastAsia" w:ascii="宋体" w:hAnsi="宋体" w:eastAsia="宋体" w:cs="宋体"/>
                <w:sz w:val="21"/>
                <w:szCs w:val="21"/>
              </w:rPr>
            </w:pPr>
            <w:r>
              <w:rPr>
                <w:rFonts w:hint="eastAsia" w:ascii="宋体" w:hAnsi="宋体" w:eastAsia="宋体" w:cs="宋体"/>
                <w:sz w:val="21"/>
                <w:szCs w:val="21"/>
              </w:rPr>
              <w:t>PHMA710415</w:t>
            </w:r>
          </w:p>
        </w:tc>
        <w:tc>
          <w:tcPr>
            <w:tcW w:w="1387" w:type="pct"/>
            <w:vAlign w:val="center"/>
          </w:tcPr>
          <w:p>
            <w:pPr>
              <w:widowControl/>
              <w:spacing w:line="283" w:lineRule="auto"/>
              <w:rPr>
                <w:rFonts w:hint="eastAsia" w:ascii="宋体" w:hAnsi="宋体" w:eastAsia="宋体" w:cs="宋体"/>
                <w:sz w:val="21"/>
                <w:szCs w:val="21"/>
              </w:rPr>
            </w:pPr>
            <w:r>
              <w:rPr>
                <w:rFonts w:hint="eastAsia" w:ascii="宋体" w:hAnsi="宋体" w:eastAsia="宋体" w:cs="宋体"/>
                <w:sz w:val="21"/>
                <w:szCs w:val="21"/>
              </w:rPr>
              <w:t>生药学（2）</w:t>
            </w:r>
          </w:p>
        </w:tc>
        <w:tc>
          <w:tcPr>
            <w:tcW w:w="304"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2</w:t>
            </w:r>
          </w:p>
        </w:tc>
        <w:tc>
          <w:tcPr>
            <w:tcW w:w="427"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c>
          <w:tcPr>
            <w:tcW w:w="320"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17" w:type="pct"/>
            <w:vMerge w:val="continue"/>
          </w:tcPr>
          <w:p>
            <w:pPr>
              <w:spacing w:line="283" w:lineRule="auto"/>
              <w:ind w:left="-42" w:leftChars="-20" w:right="-42" w:rightChars="-20"/>
              <w:jc w:val="left"/>
              <w:rPr>
                <w:rFonts w:hint="eastAsia" w:ascii="宋体" w:hAnsi="宋体" w:eastAsia="宋体" w:cs="宋体"/>
                <w:sz w:val="21"/>
                <w:szCs w:val="21"/>
              </w:rPr>
            </w:pPr>
          </w:p>
        </w:tc>
        <w:tc>
          <w:tcPr>
            <w:tcW w:w="433"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c>
          <w:tcPr>
            <w:tcW w:w="357"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4</w:t>
            </w:r>
          </w:p>
        </w:tc>
        <w:tc>
          <w:tcPr>
            <w:tcW w:w="659" w:type="pct"/>
            <w:gridSpan w:val="2"/>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172004</w:t>
            </w:r>
          </w:p>
        </w:tc>
        <w:tc>
          <w:tcPr>
            <w:tcW w:w="891" w:type="pct"/>
            <w:vAlign w:val="center"/>
          </w:tcPr>
          <w:p>
            <w:pPr>
              <w:widowControl/>
              <w:spacing w:line="283" w:lineRule="auto"/>
              <w:jc w:val="center"/>
              <w:rPr>
                <w:rFonts w:hint="eastAsia" w:ascii="宋体" w:hAnsi="宋体" w:eastAsia="宋体" w:cs="宋体"/>
                <w:sz w:val="21"/>
                <w:szCs w:val="21"/>
              </w:rPr>
            </w:pPr>
            <w:r>
              <w:rPr>
                <w:rFonts w:hint="eastAsia" w:ascii="宋体" w:hAnsi="宋体" w:eastAsia="宋体" w:cs="宋体"/>
                <w:sz w:val="21"/>
                <w:szCs w:val="21"/>
              </w:rPr>
              <w:t>PHMA710315</w:t>
            </w:r>
          </w:p>
        </w:tc>
        <w:tc>
          <w:tcPr>
            <w:tcW w:w="1387" w:type="pct"/>
            <w:vAlign w:val="center"/>
          </w:tcPr>
          <w:p>
            <w:pPr>
              <w:widowControl/>
              <w:spacing w:line="283" w:lineRule="auto"/>
              <w:rPr>
                <w:rFonts w:hint="eastAsia" w:ascii="宋体" w:hAnsi="宋体" w:eastAsia="宋体" w:cs="宋体"/>
                <w:sz w:val="21"/>
                <w:szCs w:val="21"/>
              </w:rPr>
            </w:pPr>
            <w:r>
              <w:rPr>
                <w:rFonts w:hint="eastAsia" w:ascii="宋体" w:hAnsi="宋体" w:eastAsia="宋体" w:cs="宋体"/>
                <w:sz w:val="21"/>
                <w:szCs w:val="21"/>
              </w:rPr>
              <w:t>药物分析学 (2)</w:t>
            </w:r>
          </w:p>
        </w:tc>
        <w:tc>
          <w:tcPr>
            <w:tcW w:w="304"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2</w:t>
            </w:r>
          </w:p>
        </w:tc>
        <w:tc>
          <w:tcPr>
            <w:tcW w:w="427"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c>
          <w:tcPr>
            <w:tcW w:w="320"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17" w:type="pct"/>
            <w:vMerge w:val="continue"/>
          </w:tcPr>
          <w:p>
            <w:pPr>
              <w:spacing w:line="283" w:lineRule="auto"/>
              <w:ind w:left="-42" w:leftChars="-20" w:right="-42" w:rightChars="-20"/>
              <w:jc w:val="left"/>
              <w:rPr>
                <w:rFonts w:hint="eastAsia" w:ascii="宋体" w:hAnsi="宋体" w:eastAsia="宋体" w:cs="宋体"/>
                <w:sz w:val="21"/>
                <w:szCs w:val="21"/>
              </w:rPr>
            </w:pPr>
          </w:p>
        </w:tc>
        <w:tc>
          <w:tcPr>
            <w:tcW w:w="433"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c>
          <w:tcPr>
            <w:tcW w:w="357"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5</w:t>
            </w:r>
          </w:p>
        </w:tc>
        <w:tc>
          <w:tcPr>
            <w:tcW w:w="659" w:type="pct"/>
            <w:gridSpan w:val="2"/>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152133</w:t>
            </w:r>
          </w:p>
        </w:tc>
        <w:tc>
          <w:tcPr>
            <w:tcW w:w="891" w:type="pct"/>
            <w:vAlign w:val="center"/>
          </w:tcPr>
          <w:p>
            <w:pPr>
              <w:widowControl/>
              <w:spacing w:line="283" w:lineRule="auto"/>
              <w:jc w:val="center"/>
              <w:rPr>
                <w:rFonts w:hint="eastAsia" w:ascii="宋体" w:hAnsi="宋体" w:eastAsia="宋体" w:cs="宋体"/>
                <w:sz w:val="21"/>
                <w:szCs w:val="21"/>
              </w:rPr>
            </w:pPr>
            <w:r>
              <w:rPr>
                <w:rFonts w:hint="eastAsia" w:ascii="宋体" w:hAnsi="宋体" w:eastAsia="宋体" w:cs="宋体"/>
                <w:sz w:val="21"/>
                <w:szCs w:val="21"/>
              </w:rPr>
              <w:t>PHMA710215</w:t>
            </w:r>
          </w:p>
        </w:tc>
        <w:tc>
          <w:tcPr>
            <w:tcW w:w="1387" w:type="pct"/>
            <w:vAlign w:val="center"/>
          </w:tcPr>
          <w:p>
            <w:pPr>
              <w:widowControl/>
              <w:spacing w:line="283" w:lineRule="auto"/>
              <w:rPr>
                <w:rFonts w:hint="eastAsia" w:ascii="宋体" w:hAnsi="宋体" w:eastAsia="宋体" w:cs="宋体"/>
                <w:sz w:val="21"/>
                <w:szCs w:val="21"/>
              </w:rPr>
            </w:pPr>
            <w:r>
              <w:rPr>
                <w:rFonts w:hint="eastAsia" w:ascii="宋体" w:hAnsi="宋体" w:eastAsia="宋体" w:cs="宋体"/>
                <w:sz w:val="21"/>
                <w:szCs w:val="21"/>
              </w:rPr>
              <w:t>微生物与生化药学（2）</w:t>
            </w:r>
          </w:p>
        </w:tc>
        <w:tc>
          <w:tcPr>
            <w:tcW w:w="304"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2</w:t>
            </w:r>
          </w:p>
        </w:tc>
        <w:tc>
          <w:tcPr>
            <w:tcW w:w="427"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c>
          <w:tcPr>
            <w:tcW w:w="320"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17" w:type="pct"/>
            <w:vMerge w:val="continue"/>
          </w:tcPr>
          <w:p>
            <w:pPr>
              <w:spacing w:line="283" w:lineRule="auto"/>
              <w:ind w:left="-42" w:leftChars="-20" w:right="-42" w:rightChars="-20"/>
              <w:jc w:val="left"/>
              <w:rPr>
                <w:rFonts w:hint="eastAsia" w:ascii="宋体" w:hAnsi="宋体" w:eastAsia="宋体" w:cs="宋体"/>
                <w:sz w:val="21"/>
                <w:szCs w:val="21"/>
              </w:rPr>
            </w:pPr>
          </w:p>
        </w:tc>
        <w:tc>
          <w:tcPr>
            <w:tcW w:w="433"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c>
          <w:tcPr>
            <w:tcW w:w="357"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6</w:t>
            </w:r>
          </w:p>
        </w:tc>
        <w:tc>
          <w:tcPr>
            <w:tcW w:w="659" w:type="pct"/>
            <w:gridSpan w:val="2"/>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152087</w:t>
            </w:r>
          </w:p>
        </w:tc>
        <w:tc>
          <w:tcPr>
            <w:tcW w:w="891" w:type="pct"/>
            <w:vAlign w:val="center"/>
          </w:tcPr>
          <w:p>
            <w:pPr>
              <w:widowControl/>
              <w:spacing w:line="283" w:lineRule="auto"/>
              <w:jc w:val="center"/>
              <w:rPr>
                <w:rFonts w:hint="eastAsia" w:ascii="宋体" w:hAnsi="宋体" w:eastAsia="宋体" w:cs="宋体"/>
                <w:sz w:val="21"/>
                <w:szCs w:val="21"/>
              </w:rPr>
            </w:pPr>
            <w:r>
              <w:rPr>
                <w:rFonts w:hint="eastAsia" w:ascii="宋体" w:hAnsi="宋体" w:eastAsia="宋体" w:cs="宋体"/>
                <w:sz w:val="21"/>
                <w:szCs w:val="21"/>
              </w:rPr>
              <w:t>PHMA710115</w:t>
            </w:r>
          </w:p>
        </w:tc>
        <w:tc>
          <w:tcPr>
            <w:tcW w:w="1387" w:type="pct"/>
            <w:vAlign w:val="center"/>
          </w:tcPr>
          <w:p>
            <w:pPr>
              <w:widowControl/>
              <w:spacing w:line="283" w:lineRule="auto"/>
              <w:rPr>
                <w:rFonts w:hint="eastAsia" w:ascii="宋体" w:hAnsi="宋体" w:eastAsia="宋体" w:cs="宋体"/>
                <w:sz w:val="21"/>
                <w:szCs w:val="21"/>
              </w:rPr>
            </w:pPr>
            <w:r>
              <w:rPr>
                <w:rFonts w:hint="eastAsia" w:ascii="宋体" w:hAnsi="宋体" w:eastAsia="宋体" w:cs="宋体"/>
                <w:sz w:val="21"/>
                <w:szCs w:val="21"/>
              </w:rPr>
              <w:t>药理学（2）</w:t>
            </w:r>
          </w:p>
        </w:tc>
        <w:tc>
          <w:tcPr>
            <w:tcW w:w="304"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2</w:t>
            </w:r>
          </w:p>
        </w:tc>
        <w:tc>
          <w:tcPr>
            <w:tcW w:w="427"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c>
          <w:tcPr>
            <w:tcW w:w="320"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17" w:type="pct"/>
            <w:vMerge w:val="continue"/>
          </w:tcPr>
          <w:p>
            <w:pPr>
              <w:spacing w:line="283" w:lineRule="auto"/>
              <w:ind w:left="-42" w:leftChars="-20" w:right="-42" w:rightChars="-20"/>
              <w:jc w:val="left"/>
              <w:rPr>
                <w:rFonts w:hint="eastAsia" w:ascii="宋体" w:hAnsi="宋体" w:eastAsia="宋体" w:cs="宋体"/>
                <w:sz w:val="21"/>
                <w:szCs w:val="21"/>
              </w:rPr>
            </w:pPr>
          </w:p>
        </w:tc>
        <w:tc>
          <w:tcPr>
            <w:tcW w:w="433"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c>
          <w:tcPr>
            <w:tcW w:w="357"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7</w:t>
            </w:r>
          </w:p>
        </w:tc>
        <w:tc>
          <w:tcPr>
            <w:tcW w:w="659" w:type="pct"/>
            <w:gridSpan w:val="2"/>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152165</w:t>
            </w:r>
          </w:p>
        </w:tc>
        <w:tc>
          <w:tcPr>
            <w:tcW w:w="891" w:type="pct"/>
            <w:vAlign w:val="center"/>
          </w:tcPr>
          <w:p>
            <w:pPr>
              <w:widowControl/>
              <w:spacing w:line="283" w:lineRule="auto"/>
              <w:jc w:val="center"/>
              <w:rPr>
                <w:rFonts w:hint="eastAsia" w:ascii="宋体" w:hAnsi="宋体" w:eastAsia="宋体" w:cs="宋体"/>
                <w:sz w:val="21"/>
                <w:szCs w:val="21"/>
              </w:rPr>
            </w:pPr>
            <w:r>
              <w:rPr>
                <w:rFonts w:hint="eastAsia" w:ascii="宋体" w:hAnsi="宋体" w:eastAsia="宋体" w:cs="宋体"/>
                <w:sz w:val="21"/>
                <w:szCs w:val="21"/>
              </w:rPr>
              <w:t>PHMA710715</w:t>
            </w:r>
          </w:p>
        </w:tc>
        <w:tc>
          <w:tcPr>
            <w:tcW w:w="1387" w:type="pct"/>
            <w:vAlign w:val="center"/>
          </w:tcPr>
          <w:p>
            <w:pPr>
              <w:widowControl/>
              <w:spacing w:line="283" w:lineRule="auto"/>
              <w:rPr>
                <w:rFonts w:hint="eastAsia" w:ascii="宋体" w:hAnsi="宋体" w:eastAsia="宋体" w:cs="宋体"/>
                <w:sz w:val="21"/>
                <w:szCs w:val="21"/>
              </w:rPr>
            </w:pPr>
            <w:r>
              <w:rPr>
                <w:rFonts w:hint="eastAsia" w:ascii="宋体" w:hAnsi="宋体" w:eastAsia="宋体" w:cs="宋体"/>
                <w:sz w:val="21"/>
                <w:szCs w:val="21"/>
              </w:rPr>
              <w:t>天然药物化学（2）</w:t>
            </w:r>
          </w:p>
        </w:tc>
        <w:tc>
          <w:tcPr>
            <w:tcW w:w="304"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2</w:t>
            </w:r>
          </w:p>
        </w:tc>
        <w:tc>
          <w:tcPr>
            <w:tcW w:w="427"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c>
          <w:tcPr>
            <w:tcW w:w="320"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17" w:type="pct"/>
            <w:vMerge w:val="continue"/>
          </w:tcPr>
          <w:p>
            <w:pPr>
              <w:spacing w:line="283" w:lineRule="auto"/>
              <w:ind w:left="-42" w:leftChars="-20" w:right="-42" w:rightChars="-20"/>
              <w:jc w:val="left"/>
              <w:rPr>
                <w:rFonts w:hint="eastAsia" w:ascii="宋体" w:hAnsi="宋体" w:eastAsia="宋体" w:cs="宋体"/>
                <w:sz w:val="21"/>
                <w:szCs w:val="21"/>
              </w:rPr>
            </w:pPr>
          </w:p>
        </w:tc>
        <w:tc>
          <w:tcPr>
            <w:tcW w:w="433"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c>
          <w:tcPr>
            <w:tcW w:w="357"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8</w:t>
            </w:r>
          </w:p>
        </w:tc>
        <w:tc>
          <w:tcPr>
            <w:tcW w:w="659" w:type="pct"/>
            <w:gridSpan w:val="2"/>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152166</w:t>
            </w:r>
          </w:p>
        </w:tc>
        <w:tc>
          <w:tcPr>
            <w:tcW w:w="891" w:type="pct"/>
            <w:vAlign w:val="center"/>
          </w:tcPr>
          <w:p>
            <w:pPr>
              <w:widowControl/>
              <w:spacing w:line="283" w:lineRule="auto"/>
              <w:jc w:val="center"/>
              <w:rPr>
                <w:rFonts w:hint="eastAsia" w:ascii="宋体" w:hAnsi="宋体" w:eastAsia="宋体" w:cs="宋体"/>
                <w:sz w:val="21"/>
                <w:szCs w:val="21"/>
              </w:rPr>
            </w:pPr>
            <w:r>
              <w:rPr>
                <w:rFonts w:hint="eastAsia" w:ascii="宋体" w:hAnsi="宋体" w:eastAsia="宋体" w:cs="宋体"/>
                <w:sz w:val="21"/>
                <w:szCs w:val="21"/>
              </w:rPr>
              <w:t>PHMA710815</w:t>
            </w:r>
          </w:p>
        </w:tc>
        <w:tc>
          <w:tcPr>
            <w:tcW w:w="1387" w:type="pct"/>
            <w:vAlign w:val="center"/>
          </w:tcPr>
          <w:p>
            <w:pPr>
              <w:widowControl/>
              <w:spacing w:line="283" w:lineRule="auto"/>
              <w:rPr>
                <w:rFonts w:hint="eastAsia" w:ascii="宋体" w:hAnsi="宋体" w:eastAsia="宋体" w:cs="宋体"/>
                <w:sz w:val="21"/>
                <w:szCs w:val="21"/>
              </w:rPr>
            </w:pPr>
            <w:r>
              <w:rPr>
                <w:rFonts w:hint="eastAsia" w:ascii="宋体" w:hAnsi="宋体" w:eastAsia="宋体" w:cs="宋体"/>
                <w:sz w:val="21"/>
                <w:szCs w:val="21"/>
              </w:rPr>
              <w:t>药事管理学（2）</w:t>
            </w:r>
          </w:p>
        </w:tc>
        <w:tc>
          <w:tcPr>
            <w:tcW w:w="304"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2</w:t>
            </w:r>
          </w:p>
        </w:tc>
        <w:tc>
          <w:tcPr>
            <w:tcW w:w="427"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c>
          <w:tcPr>
            <w:tcW w:w="320"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17" w:type="pct"/>
            <w:vMerge w:val="restart"/>
          </w:tcPr>
          <w:p>
            <w:pPr>
              <w:spacing w:line="283" w:lineRule="auto"/>
              <w:ind w:right="-42" w:rightChars="-20"/>
              <w:jc w:val="left"/>
              <w:rPr>
                <w:rFonts w:hint="eastAsia" w:ascii="宋体" w:hAnsi="宋体" w:eastAsia="宋体" w:cs="宋体"/>
                <w:sz w:val="21"/>
                <w:szCs w:val="21"/>
              </w:rPr>
            </w:pPr>
          </w:p>
          <w:p>
            <w:pPr>
              <w:spacing w:line="283" w:lineRule="auto"/>
              <w:ind w:right="-42" w:rightChars="-20"/>
              <w:jc w:val="left"/>
              <w:rPr>
                <w:rFonts w:hint="eastAsia" w:ascii="宋体" w:hAnsi="宋体" w:eastAsia="宋体" w:cs="宋体"/>
                <w:sz w:val="21"/>
                <w:szCs w:val="21"/>
              </w:rPr>
            </w:pPr>
          </w:p>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选</w:t>
            </w:r>
          </w:p>
          <w:p>
            <w:pPr>
              <w:spacing w:line="283" w:lineRule="auto"/>
              <w:ind w:right="-42" w:rightChars="-20"/>
              <w:jc w:val="center"/>
              <w:rPr>
                <w:rFonts w:hint="eastAsia" w:ascii="宋体" w:hAnsi="宋体" w:eastAsia="宋体" w:cs="宋体"/>
                <w:sz w:val="21"/>
                <w:szCs w:val="21"/>
              </w:rPr>
            </w:pPr>
            <w:r>
              <w:rPr>
                <w:rFonts w:hint="eastAsia" w:ascii="宋体" w:hAnsi="宋体" w:eastAsia="宋体" w:cs="宋体"/>
                <w:sz w:val="21"/>
                <w:szCs w:val="21"/>
              </w:rPr>
              <w:t>修</w:t>
            </w:r>
          </w:p>
          <w:p>
            <w:pPr>
              <w:spacing w:line="283" w:lineRule="auto"/>
              <w:ind w:right="-42" w:rightChars="-20"/>
              <w:jc w:val="center"/>
              <w:rPr>
                <w:rFonts w:hint="eastAsia" w:ascii="宋体" w:hAnsi="宋体" w:eastAsia="宋体" w:cs="宋体"/>
                <w:sz w:val="21"/>
                <w:szCs w:val="21"/>
              </w:rPr>
            </w:pPr>
            <w:r>
              <w:rPr>
                <w:rFonts w:hint="eastAsia" w:ascii="宋体" w:hAnsi="宋体" w:eastAsia="宋体" w:cs="宋体"/>
                <w:sz w:val="21"/>
                <w:szCs w:val="21"/>
              </w:rPr>
              <w:t>课</w:t>
            </w:r>
          </w:p>
        </w:tc>
        <w:tc>
          <w:tcPr>
            <w:tcW w:w="433" w:type="pct"/>
            <w:vMerge w:val="restart"/>
            <w:vAlign w:val="center"/>
          </w:tcPr>
          <w:p>
            <w:pPr>
              <w:spacing w:line="283" w:lineRule="auto"/>
              <w:ind w:left="-88" w:leftChars="-42" w:right="-107" w:rightChars="-51"/>
              <w:jc w:val="center"/>
              <w:rPr>
                <w:rFonts w:hint="eastAsia" w:ascii="宋体" w:hAnsi="宋体" w:eastAsia="宋体" w:cs="宋体"/>
                <w:sz w:val="21"/>
                <w:szCs w:val="21"/>
              </w:rPr>
            </w:pPr>
            <w:r>
              <w:rPr>
                <w:rFonts w:hint="eastAsia" w:ascii="宋体" w:hAnsi="宋体" w:eastAsia="宋体" w:cs="宋体"/>
                <w:sz w:val="21"/>
                <w:szCs w:val="21"/>
              </w:rPr>
              <w:t>实践性课程</w:t>
            </w:r>
          </w:p>
        </w:tc>
        <w:tc>
          <w:tcPr>
            <w:tcW w:w="357"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w:t>
            </w:r>
          </w:p>
        </w:tc>
        <w:tc>
          <w:tcPr>
            <w:tcW w:w="659" w:type="pct"/>
            <w:gridSpan w:val="2"/>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153035</w:t>
            </w:r>
          </w:p>
        </w:tc>
        <w:tc>
          <w:tcPr>
            <w:tcW w:w="891" w:type="pct"/>
            <w:vAlign w:val="center"/>
          </w:tcPr>
          <w:p>
            <w:pPr>
              <w:widowControl/>
              <w:spacing w:line="283" w:lineRule="auto"/>
              <w:jc w:val="center"/>
              <w:rPr>
                <w:rFonts w:hint="eastAsia" w:ascii="宋体" w:hAnsi="宋体" w:eastAsia="宋体" w:cs="宋体"/>
                <w:sz w:val="21"/>
                <w:szCs w:val="21"/>
              </w:rPr>
            </w:pPr>
            <w:r>
              <w:rPr>
                <w:rFonts w:hint="eastAsia" w:ascii="宋体" w:hAnsi="宋体" w:eastAsia="宋体" w:cs="宋体"/>
                <w:sz w:val="21"/>
                <w:szCs w:val="21"/>
              </w:rPr>
              <w:t>PHMA650215</w:t>
            </w:r>
          </w:p>
        </w:tc>
        <w:tc>
          <w:tcPr>
            <w:tcW w:w="1387" w:type="pct"/>
            <w:vAlign w:val="center"/>
          </w:tcPr>
          <w:p>
            <w:pPr>
              <w:spacing w:line="283" w:lineRule="auto"/>
              <w:ind w:left="-42" w:leftChars="-20" w:right="-42" w:rightChars="-20"/>
              <w:rPr>
                <w:rFonts w:hint="eastAsia" w:ascii="宋体" w:hAnsi="宋体" w:eastAsia="宋体" w:cs="宋体"/>
                <w:sz w:val="21"/>
                <w:szCs w:val="21"/>
              </w:rPr>
            </w:pPr>
            <w:r>
              <w:rPr>
                <w:rFonts w:hint="eastAsia" w:ascii="宋体" w:hAnsi="宋体" w:eastAsia="宋体" w:cs="宋体"/>
                <w:sz w:val="21"/>
                <w:szCs w:val="21"/>
              </w:rPr>
              <w:t>医院药学实践(实践性课程1)</w:t>
            </w:r>
          </w:p>
        </w:tc>
        <w:tc>
          <w:tcPr>
            <w:tcW w:w="304" w:type="pct"/>
            <w:vAlign w:val="center"/>
          </w:tcPr>
          <w:p>
            <w:pPr>
              <w:spacing w:line="283" w:lineRule="auto"/>
              <w:ind w:right="-42" w:rightChars="-20"/>
              <w:jc w:val="center"/>
              <w:rPr>
                <w:rFonts w:hint="eastAsia" w:ascii="宋体" w:hAnsi="宋体" w:eastAsia="宋体" w:cs="宋体"/>
                <w:sz w:val="21"/>
                <w:szCs w:val="21"/>
              </w:rPr>
            </w:pPr>
            <w:r>
              <w:rPr>
                <w:rFonts w:hint="eastAsia" w:ascii="宋体" w:hAnsi="宋体" w:eastAsia="宋体" w:cs="宋体"/>
                <w:sz w:val="21"/>
                <w:szCs w:val="21"/>
              </w:rPr>
              <w:t>2</w:t>
            </w:r>
          </w:p>
        </w:tc>
        <w:tc>
          <w:tcPr>
            <w:tcW w:w="427" w:type="pct"/>
            <w:vMerge w:val="restar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必选</w:t>
            </w:r>
          </w:p>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4学分</w:t>
            </w:r>
          </w:p>
        </w:tc>
        <w:tc>
          <w:tcPr>
            <w:tcW w:w="320" w:type="pct"/>
            <w:vMerge w:val="restar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见注</w:t>
            </w:r>
            <w:r>
              <w:rPr>
                <w:rFonts w:hint="eastAsia" w:ascii="宋体" w:hAnsi="宋体" w:eastAsia="宋体" w:cs="宋体"/>
                <w:kern w:val="0"/>
                <w:sz w:val="21"/>
                <w:szCs w:val="21"/>
              </w:rPr>
              <w:t>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7" w:type="pct"/>
            <w:vMerge w:val="continue"/>
          </w:tcPr>
          <w:p>
            <w:pPr>
              <w:spacing w:line="283" w:lineRule="auto"/>
              <w:ind w:left="-88" w:leftChars="-42" w:right="-107" w:rightChars="-51"/>
              <w:jc w:val="left"/>
              <w:rPr>
                <w:rFonts w:hint="eastAsia" w:ascii="宋体" w:hAnsi="宋体" w:eastAsia="宋体" w:cs="宋体"/>
                <w:sz w:val="21"/>
                <w:szCs w:val="21"/>
              </w:rPr>
            </w:pPr>
          </w:p>
        </w:tc>
        <w:tc>
          <w:tcPr>
            <w:tcW w:w="433" w:type="pct"/>
            <w:vMerge w:val="continue"/>
            <w:vAlign w:val="center"/>
          </w:tcPr>
          <w:p>
            <w:pPr>
              <w:spacing w:line="283" w:lineRule="auto"/>
              <w:ind w:left="-88" w:leftChars="-42" w:right="-107" w:rightChars="-51"/>
              <w:jc w:val="center"/>
              <w:rPr>
                <w:rFonts w:hint="eastAsia" w:ascii="宋体" w:hAnsi="宋体" w:eastAsia="宋体" w:cs="宋体"/>
                <w:sz w:val="21"/>
                <w:szCs w:val="21"/>
              </w:rPr>
            </w:pPr>
          </w:p>
        </w:tc>
        <w:tc>
          <w:tcPr>
            <w:tcW w:w="357"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2</w:t>
            </w:r>
          </w:p>
        </w:tc>
        <w:tc>
          <w:tcPr>
            <w:tcW w:w="659" w:type="pct"/>
            <w:gridSpan w:val="2"/>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153034</w:t>
            </w:r>
          </w:p>
        </w:tc>
        <w:tc>
          <w:tcPr>
            <w:tcW w:w="891" w:type="pct"/>
            <w:vAlign w:val="center"/>
          </w:tcPr>
          <w:p>
            <w:pPr>
              <w:widowControl/>
              <w:spacing w:line="283" w:lineRule="auto"/>
              <w:jc w:val="center"/>
              <w:rPr>
                <w:rFonts w:hint="eastAsia" w:ascii="宋体" w:hAnsi="宋体" w:eastAsia="宋体" w:cs="宋体"/>
                <w:sz w:val="21"/>
                <w:szCs w:val="21"/>
              </w:rPr>
            </w:pPr>
            <w:r>
              <w:rPr>
                <w:rFonts w:hint="eastAsia" w:ascii="宋体" w:hAnsi="宋体" w:eastAsia="宋体" w:cs="宋体"/>
                <w:sz w:val="21"/>
                <w:szCs w:val="21"/>
              </w:rPr>
              <w:t>PHMA650115</w:t>
            </w:r>
          </w:p>
        </w:tc>
        <w:tc>
          <w:tcPr>
            <w:tcW w:w="1387" w:type="pct"/>
            <w:vAlign w:val="center"/>
          </w:tcPr>
          <w:p>
            <w:pPr>
              <w:spacing w:line="283" w:lineRule="auto"/>
              <w:ind w:left="-42" w:leftChars="-20" w:right="-42" w:rightChars="-20"/>
              <w:rPr>
                <w:rFonts w:hint="eastAsia" w:ascii="宋体" w:hAnsi="宋体" w:eastAsia="宋体" w:cs="宋体"/>
                <w:sz w:val="21"/>
                <w:szCs w:val="21"/>
              </w:rPr>
            </w:pPr>
            <w:r>
              <w:rPr>
                <w:rFonts w:hint="eastAsia" w:ascii="宋体" w:hAnsi="宋体" w:eastAsia="宋体" w:cs="宋体"/>
                <w:sz w:val="21"/>
                <w:szCs w:val="21"/>
              </w:rPr>
              <w:t>药品质量管理体系建设(实践性课程2)</w:t>
            </w:r>
          </w:p>
        </w:tc>
        <w:tc>
          <w:tcPr>
            <w:tcW w:w="304" w:type="pct"/>
            <w:vAlign w:val="center"/>
          </w:tcPr>
          <w:p>
            <w:pPr>
              <w:spacing w:line="283" w:lineRule="auto"/>
              <w:ind w:right="-42" w:rightChars="-20"/>
              <w:jc w:val="center"/>
              <w:rPr>
                <w:rFonts w:hint="eastAsia" w:ascii="宋体" w:hAnsi="宋体" w:eastAsia="宋体" w:cs="宋体"/>
                <w:sz w:val="21"/>
                <w:szCs w:val="21"/>
              </w:rPr>
            </w:pPr>
            <w:r>
              <w:rPr>
                <w:rFonts w:hint="eastAsia" w:ascii="宋体" w:hAnsi="宋体" w:eastAsia="宋体" w:cs="宋体"/>
                <w:sz w:val="21"/>
                <w:szCs w:val="21"/>
              </w:rPr>
              <w:t>2</w:t>
            </w:r>
          </w:p>
        </w:tc>
        <w:tc>
          <w:tcPr>
            <w:tcW w:w="427"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c>
          <w:tcPr>
            <w:tcW w:w="320"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7" w:type="pct"/>
            <w:vMerge w:val="continue"/>
          </w:tcPr>
          <w:p>
            <w:pPr>
              <w:spacing w:line="283" w:lineRule="auto"/>
              <w:ind w:left="-88" w:leftChars="-42" w:right="-107" w:rightChars="-51"/>
              <w:jc w:val="left"/>
              <w:rPr>
                <w:rFonts w:hint="eastAsia" w:ascii="宋体" w:hAnsi="宋体" w:eastAsia="宋体" w:cs="宋体"/>
                <w:sz w:val="21"/>
                <w:szCs w:val="21"/>
              </w:rPr>
            </w:pPr>
          </w:p>
        </w:tc>
        <w:tc>
          <w:tcPr>
            <w:tcW w:w="433" w:type="pct"/>
            <w:vMerge w:val="continue"/>
            <w:vAlign w:val="center"/>
          </w:tcPr>
          <w:p>
            <w:pPr>
              <w:spacing w:line="283" w:lineRule="auto"/>
              <w:ind w:left="-88" w:leftChars="-42" w:right="-107" w:rightChars="-51"/>
              <w:jc w:val="center"/>
              <w:rPr>
                <w:rFonts w:hint="eastAsia" w:ascii="宋体" w:hAnsi="宋体" w:eastAsia="宋体" w:cs="宋体"/>
                <w:sz w:val="21"/>
                <w:szCs w:val="21"/>
              </w:rPr>
            </w:pPr>
          </w:p>
        </w:tc>
        <w:tc>
          <w:tcPr>
            <w:tcW w:w="357"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3</w:t>
            </w:r>
          </w:p>
        </w:tc>
        <w:tc>
          <w:tcPr>
            <w:tcW w:w="659" w:type="pct"/>
            <w:gridSpan w:val="2"/>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152156</w:t>
            </w:r>
          </w:p>
        </w:tc>
        <w:tc>
          <w:tcPr>
            <w:tcW w:w="891" w:type="pct"/>
            <w:vAlign w:val="center"/>
          </w:tcPr>
          <w:p>
            <w:pPr>
              <w:widowControl/>
              <w:spacing w:line="283" w:lineRule="auto"/>
              <w:jc w:val="center"/>
              <w:rPr>
                <w:rFonts w:hint="eastAsia" w:ascii="宋体" w:hAnsi="宋体" w:eastAsia="宋体" w:cs="宋体"/>
                <w:sz w:val="21"/>
                <w:szCs w:val="21"/>
              </w:rPr>
            </w:pPr>
            <w:r>
              <w:rPr>
                <w:rFonts w:hint="eastAsia" w:ascii="宋体" w:hAnsi="宋体" w:eastAsia="宋体" w:cs="宋体"/>
                <w:sz w:val="21"/>
                <w:szCs w:val="21"/>
              </w:rPr>
              <w:t>PHMA611215</w:t>
            </w:r>
          </w:p>
        </w:tc>
        <w:tc>
          <w:tcPr>
            <w:tcW w:w="1387" w:type="pct"/>
            <w:vAlign w:val="center"/>
          </w:tcPr>
          <w:p>
            <w:pPr>
              <w:widowControl/>
              <w:spacing w:line="283" w:lineRule="auto"/>
              <w:jc w:val="left"/>
              <w:rPr>
                <w:rFonts w:hint="eastAsia" w:ascii="宋体" w:hAnsi="宋体" w:eastAsia="宋体" w:cs="宋体"/>
                <w:sz w:val="21"/>
                <w:szCs w:val="21"/>
              </w:rPr>
            </w:pPr>
            <w:r>
              <w:rPr>
                <w:rFonts w:hint="eastAsia" w:ascii="宋体" w:hAnsi="宋体" w:eastAsia="宋体" w:cs="宋体"/>
                <w:sz w:val="21"/>
                <w:szCs w:val="21"/>
              </w:rPr>
              <w:t>药物设计学</w:t>
            </w:r>
          </w:p>
        </w:tc>
        <w:tc>
          <w:tcPr>
            <w:tcW w:w="304" w:type="pct"/>
            <w:vAlign w:val="center"/>
          </w:tcPr>
          <w:p>
            <w:pPr>
              <w:spacing w:line="283" w:lineRule="auto"/>
              <w:ind w:right="-42" w:rightChars="-20"/>
              <w:jc w:val="center"/>
              <w:rPr>
                <w:rFonts w:hint="eastAsia" w:ascii="宋体" w:hAnsi="宋体" w:eastAsia="宋体" w:cs="宋体"/>
                <w:sz w:val="21"/>
                <w:szCs w:val="21"/>
              </w:rPr>
            </w:pPr>
            <w:r>
              <w:rPr>
                <w:rFonts w:hint="eastAsia" w:ascii="宋体" w:hAnsi="宋体" w:eastAsia="宋体" w:cs="宋体"/>
                <w:sz w:val="21"/>
                <w:szCs w:val="21"/>
              </w:rPr>
              <w:t>2</w:t>
            </w:r>
          </w:p>
        </w:tc>
        <w:tc>
          <w:tcPr>
            <w:tcW w:w="427"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c>
          <w:tcPr>
            <w:tcW w:w="320"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17" w:type="pct"/>
            <w:vMerge w:val="continue"/>
          </w:tcPr>
          <w:p>
            <w:pPr>
              <w:spacing w:line="283" w:lineRule="auto"/>
              <w:ind w:left="-88" w:leftChars="-42" w:right="-107" w:rightChars="-51"/>
              <w:jc w:val="left"/>
              <w:rPr>
                <w:rFonts w:hint="eastAsia" w:ascii="宋体" w:hAnsi="宋体" w:eastAsia="宋体" w:cs="宋体"/>
                <w:sz w:val="21"/>
                <w:szCs w:val="21"/>
              </w:rPr>
            </w:pPr>
          </w:p>
        </w:tc>
        <w:tc>
          <w:tcPr>
            <w:tcW w:w="433" w:type="pct"/>
            <w:vMerge w:val="continue"/>
            <w:vAlign w:val="center"/>
          </w:tcPr>
          <w:p>
            <w:pPr>
              <w:spacing w:line="283" w:lineRule="auto"/>
              <w:ind w:left="-88" w:leftChars="-42" w:right="-107" w:rightChars="-51"/>
              <w:jc w:val="center"/>
              <w:rPr>
                <w:rFonts w:hint="eastAsia" w:ascii="宋体" w:hAnsi="宋体" w:eastAsia="宋体" w:cs="宋体"/>
                <w:sz w:val="21"/>
                <w:szCs w:val="21"/>
              </w:rPr>
            </w:pPr>
          </w:p>
        </w:tc>
        <w:tc>
          <w:tcPr>
            <w:tcW w:w="357"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4</w:t>
            </w:r>
          </w:p>
        </w:tc>
        <w:tc>
          <w:tcPr>
            <w:tcW w:w="659" w:type="pct"/>
            <w:gridSpan w:val="2"/>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172015</w:t>
            </w:r>
          </w:p>
        </w:tc>
        <w:tc>
          <w:tcPr>
            <w:tcW w:w="891" w:type="pct"/>
            <w:vAlign w:val="center"/>
          </w:tcPr>
          <w:p>
            <w:pPr>
              <w:widowControl/>
              <w:spacing w:line="283" w:lineRule="auto"/>
              <w:jc w:val="center"/>
              <w:rPr>
                <w:rFonts w:hint="eastAsia" w:ascii="宋体" w:hAnsi="宋体" w:eastAsia="宋体" w:cs="宋体"/>
                <w:sz w:val="21"/>
                <w:szCs w:val="21"/>
              </w:rPr>
            </w:pPr>
            <w:r>
              <w:rPr>
                <w:rFonts w:hint="eastAsia" w:ascii="宋体" w:hAnsi="宋体" w:eastAsia="宋体" w:cs="宋体"/>
                <w:sz w:val="21"/>
                <w:szCs w:val="21"/>
              </w:rPr>
              <w:t>PHMA612215</w:t>
            </w:r>
          </w:p>
        </w:tc>
        <w:tc>
          <w:tcPr>
            <w:tcW w:w="1387" w:type="pct"/>
            <w:vAlign w:val="center"/>
          </w:tcPr>
          <w:p>
            <w:pPr>
              <w:widowControl/>
              <w:spacing w:line="283" w:lineRule="auto"/>
              <w:jc w:val="left"/>
              <w:rPr>
                <w:rFonts w:hint="eastAsia" w:ascii="宋体" w:hAnsi="宋体" w:eastAsia="宋体" w:cs="宋体"/>
                <w:sz w:val="21"/>
                <w:szCs w:val="21"/>
              </w:rPr>
            </w:pPr>
            <w:r>
              <w:rPr>
                <w:rFonts w:hint="eastAsia" w:ascii="宋体" w:hAnsi="宋体" w:eastAsia="宋体" w:cs="宋体"/>
                <w:sz w:val="21"/>
                <w:szCs w:val="21"/>
              </w:rPr>
              <w:t>中药物质基础分析</w:t>
            </w:r>
          </w:p>
        </w:tc>
        <w:tc>
          <w:tcPr>
            <w:tcW w:w="304" w:type="pct"/>
            <w:vAlign w:val="center"/>
          </w:tcPr>
          <w:p>
            <w:pPr>
              <w:spacing w:line="283" w:lineRule="auto"/>
              <w:ind w:right="-42" w:rightChars="-20"/>
              <w:jc w:val="center"/>
              <w:rPr>
                <w:rFonts w:hint="eastAsia" w:ascii="宋体" w:hAnsi="宋体" w:eastAsia="宋体" w:cs="宋体"/>
                <w:sz w:val="21"/>
                <w:szCs w:val="21"/>
              </w:rPr>
            </w:pPr>
            <w:r>
              <w:rPr>
                <w:rFonts w:hint="eastAsia" w:ascii="宋体" w:hAnsi="宋体" w:eastAsia="宋体" w:cs="宋体"/>
                <w:sz w:val="21"/>
                <w:szCs w:val="21"/>
              </w:rPr>
              <w:t>2</w:t>
            </w:r>
          </w:p>
        </w:tc>
        <w:tc>
          <w:tcPr>
            <w:tcW w:w="427"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c>
          <w:tcPr>
            <w:tcW w:w="320" w:type="pct"/>
            <w:vMerge w:val="continue"/>
            <w:vAlign w:val="center"/>
          </w:tcPr>
          <w:p>
            <w:pPr>
              <w:spacing w:line="283" w:lineRule="auto"/>
              <w:ind w:left="-42" w:leftChars="-20" w:right="-42" w:rightChars="-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17" w:type="pct"/>
            <w:vMerge w:val="continue"/>
          </w:tcPr>
          <w:p>
            <w:pPr>
              <w:spacing w:line="283" w:lineRule="auto"/>
              <w:ind w:left="-88" w:leftChars="-42" w:right="-107" w:rightChars="-51"/>
              <w:jc w:val="left"/>
              <w:rPr>
                <w:rFonts w:hint="eastAsia" w:ascii="宋体" w:hAnsi="宋体" w:eastAsia="宋体" w:cs="宋体"/>
                <w:sz w:val="21"/>
                <w:szCs w:val="21"/>
              </w:rPr>
            </w:pPr>
          </w:p>
        </w:tc>
        <w:tc>
          <w:tcPr>
            <w:tcW w:w="433" w:type="pct"/>
            <w:vAlign w:val="center"/>
          </w:tcPr>
          <w:p>
            <w:pPr>
              <w:spacing w:line="283" w:lineRule="auto"/>
              <w:ind w:left="-88" w:leftChars="-42" w:right="-107" w:rightChars="-51"/>
              <w:jc w:val="center"/>
              <w:rPr>
                <w:rFonts w:hint="eastAsia" w:ascii="宋体" w:hAnsi="宋体" w:eastAsia="宋体" w:cs="宋体"/>
                <w:sz w:val="21"/>
                <w:szCs w:val="21"/>
              </w:rPr>
            </w:pPr>
            <w:r>
              <w:rPr>
                <w:rFonts w:hint="eastAsia" w:ascii="宋体" w:hAnsi="宋体" w:eastAsia="宋体" w:cs="宋体"/>
                <w:sz w:val="21"/>
                <w:szCs w:val="21"/>
              </w:rPr>
              <w:t>任意</w:t>
            </w:r>
          </w:p>
          <w:p>
            <w:pPr>
              <w:spacing w:line="283" w:lineRule="auto"/>
              <w:ind w:left="-88" w:leftChars="-42" w:right="-107" w:rightChars="-51"/>
              <w:jc w:val="center"/>
              <w:rPr>
                <w:rFonts w:hint="eastAsia" w:ascii="宋体" w:hAnsi="宋体" w:eastAsia="宋体" w:cs="宋体"/>
                <w:sz w:val="21"/>
                <w:szCs w:val="21"/>
              </w:rPr>
            </w:pPr>
            <w:r>
              <w:rPr>
                <w:rFonts w:hint="eastAsia" w:ascii="宋体" w:hAnsi="宋体" w:eastAsia="宋体" w:cs="宋体"/>
                <w:sz w:val="21"/>
                <w:szCs w:val="21"/>
              </w:rPr>
              <w:t>选修课</w:t>
            </w:r>
          </w:p>
        </w:tc>
        <w:tc>
          <w:tcPr>
            <w:tcW w:w="357"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1</w:t>
            </w:r>
          </w:p>
        </w:tc>
        <w:tc>
          <w:tcPr>
            <w:tcW w:w="659" w:type="pct"/>
            <w:gridSpan w:val="2"/>
            <w:vAlign w:val="center"/>
          </w:tcPr>
          <w:p>
            <w:pPr>
              <w:spacing w:line="283" w:lineRule="auto"/>
              <w:ind w:left="-42" w:leftChars="-20" w:right="-42" w:rightChars="-20"/>
              <w:jc w:val="center"/>
              <w:rPr>
                <w:rFonts w:hint="eastAsia" w:ascii="宋体" w:hAnsi="宋体" w:eastAsia="宋体" w:cs="宋体"/>
                <w:sz w:val="21"/>
                <w:szCs w:val="21"/>
              </w:rPr>
            </w:pPr>
          </w:p>
        </w:tc>
        <w:tc>
          <w:tcPr>
            <w:tcW w:w="891" w:type="pct"/>
            <w:vAlign w:val="center"/>
          </w:tcPr>
          <w:p>
            <w:pPr>
              <w:widowControl/>
              <w:spacing w:line="283"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1387" w:type="pct"/>
            <w:vAlign w:val="center"/>
          </w:tcPr>
          <w:p>
            <w:pPr>
              <w:spacing w:line="283" w:lineRule="auto"/>
              <w:ind w:right="-42" w:rightChars="-20"/>
              <w:rPr>
                <w:rFonts w:hint="eastAsia" w:ascii="宋体" w:hAnsi="宋体" w:eastAsia="宋体" w:cs="宋体"/>
                <w:sz w:val="21"/>
                <w:szCs w:val="21"/>
              </w:rPr>
            </w:pPr>
            <w:r>
              <w:rPr>
                <w:rFonts w:hint="eastAsia" w:ascii="宋体" w:hAnsi="宋体" w:eastAsia="宋体" w:cs="宋体"/>
                <w:sz w:val="21"/>
                <w:szCs w:val="21"/>
              </w:rPr>
              <w:t>可根据所学方向特点：</w:t>
            </w:r>
          </w:p>
          <w:p>
            <w:pPr>
              <w:pStyle w:val="159"/>
              <w:numPr>
                <w:ilvl w:val="0"/>
                <w:numId w:val="6"/>
              </w:numPr>
              <w:spacing w:line="283" w:lineRule="auto"/>
              <w:ind w:right="-42" w:rightChars="-20" w:firstLineChars="0"/>
              <w:rPr>
                <w:rFonts w:hint="eastAsia" w:ascii="宋体" w:hAnsi="宋体" w:eastAsia="宋体" w:cs="宋体"/>
                <w:sz w:val="21"/>
                <w:szCs w:val="21"/>
              </w:rPr>
            </w:pPr>
            <w:r>
              <w:rPr>
                <w:rFonts w:hint="eastAsia" w:ascii="宋体" w:hAnsi="宋体" w:eastAsia="宋体" w:cs="宋体"/>
                <w:sz w:val="21"/>
                <w:szCs w:val="21"/>
              </w:rPr>
              <w:t>选修医学部开设的课程。</w:t>
            </w:r>
          </w:p>
          <w:p>
            <w:pPr>
              <w:pStyle w:val="159"/>
              <w:numPr>
                <w:ilvl w:val="0"/>
                <w:numId w:val="6"/>
              </w:numPr>
              <w:spacing w:line="283" w:lineRule="auto"/>
              <w:ind w:right="-42" w:rightChars="-20" w:firstLineChars="0"/>
              <w:rPr>
                <w:rFonts w:hint="eastAsia" w:ascii="宋体" w:hAnsi="宋体" w:eastAsia="宋体" w:cs="宋体"/>
                <w:sz w:val="21"/>
                <w:szCs w:val="21"/>
              </w:rPr>
            </w:pPr>
            <w:r>
              <w:rPr>
                <w:rFonts w:hint="eastAsia" w:ascii="宋体" w:hAnsi="宋体" w:eastAsia="宋体" w:cs="宋体"/>
                <w:sz w:val="21"/>
                <w:szCs w:val="21"/>
              </w:rPr>
              <w:t>也可在全校课程中任选。</w:t>
            </w:r>
          </w:p>
        </w:tc>
        <w:tc>
          <w:tcPr>
            <w:tcW w:w="304" w:type="pct"/>
            <w:vAlign w:val="center"/>
          </w:tcPr>
          <w:p>
            <w:pPr>
              <w:spacing w:line="283" w:lineRule="auto"/>
              <w:ind w:right="-42" w:rightChars="-20"/>
              <w:jc w:val="center"/>
              <w:rPr>
                <w:rFonts w:hint="eastAsia" w:ascii="宋体" w:hAnsi="宋体" w:eastAsia="宋体" w:cs="宋体"/>
                <w:sz w:val="21"/>
                <w:szCs w:val="21"/>
              </w:rPr>
            </w:pPr>
            <w:r>
              <w:rPr>
                <w:rFonts w:hint="eastAsia" w:ascii="宋体" w:hAnsi="宋体" w:eastAsia="宋体" w:cs="宋体"/>
                <w:sz w:val="21"/>
                <w:szCs w:val="21"/>
              </w:rPr>
              <w:t>/</w:t>
            </w:r>
          </w:p>
        </w:tc>
        <w:tc>
          <w:tcPr>
            <w:tcW w:w="427"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选修</w:t>
            </w:r>
          </w:p>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其余学分</w:t>
            </w:r>
          </w:p>
        </w:tc>
        <w:tc>
          <w:tcPr>
            <w:tcW w:w="320" w:type="pct"/>
            <w:vAlign w:val="center"/>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见注</w:t>
            </w:r>
            <w:r>
              <w:rPr>
                <w:rFonts w:hint="eastAsia" w:ascii="宋体" w:hAnsi="宋体" w:eastAsia="宋体" w:cs="宋体"/>
                <w:kern w:val="0"/>
                <w:sz w:val="21"/>
                <w:szCs w:val="21"/>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50" w:type="pct"/>
            <w:gridSpan w:val="2"/>
            <w:vMerge w:val="restart"/>
          </w:tcPr>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必</w:t>
            </w:r>
          </w:p>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修</w:t>
            </w:r>
          </w:p>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环</w:t>
            </w:r>
          </w:p>
          <w:p>
            <w:pPr>
              <w:spacing w:line="283" w:lineRule="auto"/>
              <w:ind w:left="-42" w:leftChars="-20" w:right="-42" w:rightChars="-20"/>
              <w:jc w:val="center"/>
              <w:rPr>
                <w:rFonts w:hint="eastAsia" w:ascii="宋体" w:hAnsi="宋体" w:eastAsia="宋体" w:cs="宋体"/>
                <w:sz w:val="21"/>
                <w:szCs w:val="21"/>
              </w:rPr>
            </w:pPr>
            <w:r>
              <w:rPr>
                <w:rFonts w:hint="eastAsia" w:ascii="宋体" w:hAnsi="宋体" w:eastAsia="宋体" w:cs="宋体"/>
                <w:sz w:val="21"/>
                <w:szCs w:val="21"/>
              </w:rPr>
              <w:t>节</w:t>
            </w:r>
          </w:p>
        </w:tc>
        <w:tc>
          <w:tcPr>
            <w:tcW w:w="357" w:type="pct"/>
            <w:vAlign w:val="center"/>
          </w:tcPr>
          <w:p>
            <w:pPr>
              <w:tabs>
                <w:tab w:val="left" w:pos="360"/>
              </w:tabs>
              <w:spacing w:line="283"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659" w:type="pct"/>
            <w:gridSpan w:val="2"/>
            <w:vAlign w:val="center"/>
          </w:tcPr>
          <w:p>
            <w:pPr>
              <w:tabs>
                <w:tab w:val="left" w:pos="360"/>
              </w:tabs>
              <w:spacing w:line="283" w:lineRule="auto"/>
              <w:jc w:val="center"/>
              <w:rPr>
                <w:rFonts w:hint="eastAsia" w:ascii="宋体" w:hAnsi="宋体" w:eastAsia="宋体" w:cs="宋体"/>
                <w:sz w:val="21"/>
                <w:szCs w:val="21"/>
              </w:rPr>
            </w:pPr>
            <w:r>
              <w:rPr>
                <w:rFonts w:hint="eastAsia" w:ascii="宋体" w:hAnsi="宋体" w:eastAsia="宋体" w:cs="宋体"/>
                <w:sz w:val="21"/>
                <w:szCs w:val="21"/>
              </w:rPr>
              <w:t>001997</w:t>
            </w:r>
          </w:p>
        </w:tc>
        <w:tc>
          <w:tcPr>
            <w:tcW w:w="891" w:type="pct"/>
            <w:vAlign w:val="center"/>
          </w:tcPr>
          <w:p>
            <w:pPr>
              <w:widowControl/>
              <w:spacing w:line="283" w:lineRule="auto"/>
              <w:jc w:val="center"/>
              <w:rPr>
                <w:rFonts w:hint="eastAsia" w:ascii="宋体" w:hAnsi="宋体" w:eastAsia="宋体" w:cs="宋体"/>
                <w:sz w:val="21"/>
                <w:szCs w:val="21"/>
              </w:rPr>
            </w:pPr>
            <w:r>
              <w:rPr>
                <w:rFonts w:hint="eastAsia" w:ascii="宋体" w:hAnsi="宋体" w:eastAsia="宋体" w:cs="宋体"/>
                <w:sz w:val="21"/>
                <w:szCs w:val="21"/>
              </w:rPr>
              <w:t>BXHJ600399</w:t>
            </w:r>
          </w:p>
        </w:tc>
        <w:tc>
          <w:tcPr>
            <w:tcW w:w="1387" w:type="pct"/>
            <w:vAlign w:val="center"/>
          </w:tcPr>
          <w:p>
            <w:pPr>
              <w:tabs>
                <w:tab w:val="left" w:pos="360"/>
              </w:tabs>
              <w:spacing w:line="283" w:lineRule="auto"/>
              <w:rPr>
                <w:rFonts w:hint="eastAsia" w:ascii="宋体" w:hAnsi="宋体" w:eastAsia="宋体" w:cs="宋体"/>
                <w:sz w:val="21"/>
                <w:szCs w:val="21"/>
              </w:rPr>
            </w:pPr>
            <w:r>
              <w:rPr>
                <w:rFonts w:hint="eastAsia" w:ascii="宋体" w:hAnsi="宋体" w:eastAsia="宋体" w:cs="宋体"/>
                <w:sz w:val="21"/>
                <w:szCs w:val="21"/>
              </w:rPr>
              <w:t>学术活动（讲座）硕</w:t>
            </w:r>
          </w:p>
        </w:tc>
        <w:tc>
          <w:tcPr>
            <w:tcW w:w="304" w:type="pct"/>
            <w:vAlign w:val="center"/>
          </w:tcPr>
          <w:p>
            <w:pPr>
              <w:spacing w:line="283" w:lineRule="auto"/>
              <w:ind w:right="-42" w:rightChars="-20"/>
              <w:jc w:val="center"/>
              <w:rPr>
                <w:rFonts w:hint="eastAsia" w:ascii="宋体" w:hAnsi="宋体" w:eastAsia="宋体" w:cs="宋体"/>
                <w:sz w:val="21"/>
                <w:szCs w:val="21"/>
              </w:rPr>
            </w:pPr>
            <w:r>
              <w:rPr>
                <w:rFonts w:hint="eastAsia" w:ascii="宋体" w:hAnsi="宋体" w:eastAsia="宋体" w:cs="宋体"/>
                <w:sz w:val="21"/>
                <w:szCs w:val="21"/>
              </w:rPr>
              <w:t>1</w:t>
            </w:r>
          </w:p>
        </w:tc>
        <w:tc>
          <w:tcPr>
            <w:tcW w:w="427" w:type="pct"/>
            <w:vMerge w:val="restart"/>
            <w:vAlign w:val="center"/>
          </w:tcPr>
          <w:p>
            <w:pPr>
              <w:spacing w:line="283" w:lineRule="auto"/>
              <w:ind w:right="-42" w:rightChars="-20"/>
              <w:jc w:val="center"/>
              <w:rPr>
                <w:rFonts w:hint="eastAsia" w:ascii="宋体" w:hAnsi="宋体" w:eastAsia="宋体" w:cs="宋体"/>
                <w:sz w:val="21"/>
                <w:szCs w:val="21"/>
              </w:rPr>
            </w:pPr>
            <w:r>
              <w:rPr>
                <w:rFonts w:hint="eastAsia" w:ascii="宋体" w:hAnsi="宋体" w:eastAsia="宋体" w:cs="宋体"/>
                <w:sz w:val="21"/>
                <w:szCs w:val="21"/>
              </w:rPr>
              <w:t>必修</w:t>
            </w:r>
          </w:p>
          <w:p>
            <w:pPr>
              <w:spacing w:line="283" w:lineRule="auto"/>
              <w:ind w:right="-42" w:rightChars="-20"/>
              <w:jc w:val="center"/>
              <w:rPr>
                <w:rFonts w:hint="eastAsia" w:ascii="宋体" w:hAnsi="宋体" w:eastAsia="宋体" w:cs="宋体"/>
                <w:sz w:val="21"/>
                <w:szCs w:val="21"/>
              </w:rPr>
            </w:pPr>
            <w:r>
              <w:rPr>
                <w:rFonts w:hint="eastAsia" w:ascii="宋体" w:hAnsi="宋体" w:eastAsia="宋体" w:cs="宋体"/>
                <w:sz w:val="21"/>
                <w:szCs w:val="21"/>
              </w:rPr>
              <w:t>12学分</w:t>
            </w:r>
          </w:p>
        </w:tc>
        <w:tc>
          <w:tcPr>
            <w:tcW w:w="320" w:type="pct"/>
            <w:vMerge w:val="restart"/>
            <w:vAlign w:val="center"/>
          </w:tcPr>
          <w:p>
            <w:pPr>
              <w:spacing w:line="283" w:lineRule="auto"/>
              <w:ind w:right="-42" w:rightChars="-20"/>
              <w:jc w:val="center"/>
              <w:rPr>
                <w:rFonts w:hint="eastAsia" w:ascii="宋体" w:hAnsi="宋体" w:eastAsia="宋体" w:cs="宋体"/>
                <w:sz w:val="21"/>
                <w:szCs w:val="21"/>
              </w:rPr>
            </w:pPr>
            <w:r>
              <w:rPr>
                <w:rFonts w:hint="eastAsia" w:ascii="宋体" w:hAnsi="宋体" w:eastAsia="宋体" w:cs="宋体"/>
                <w:sz w:val="21"/>
                <w:szCs w:val="21"/>
              </w:rPr>
              <w:t>见注</w:t>
            </w:r>
            <w:r>
              <w:rPr>
                <w:rFonts w:hint="eastAsia" w:ascii="宋体" w:hAnsi="宋体" w:eastAsia="宋体" w:cs="宋体"/>
                <w:kern w:val="0"/>
                <w:sz w:val="21"/>
                <w:szCs w:val="21"/>
              </w:rPr>
              <w:t>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50" w:type="pct"/>
            <w:gridSpan w:val="2"/>
            <w:vMerge w:val="continue"/>
          </w:tcPr>
          <w:p>
            <w:pPr>
              <w:spacing w:line="283" w:lineRule="auto"/>
              <w:ind w:left="-42" w:leftChars="-20" w:right="-42" w:rightChars="-20"/>
              <w:jc w:val="center"/>
              <w:rPr>
                <w:rFonts w:hint="eastAsia" w:ascii="宋体" w:hAnsi="宋体" w:eastAsia="宋体" w:cs="宋体"/>
                <w:sz w:val="21"/>
                <w:szCs w:val="21"/>
              </w:rPr>
            </w:pPr>
          </w:p>
        </w:tc>
        <w:tc>
          <w:tcPr>
            <w:tcW w:w="357" w:type="pct"/>
            <w:vAlign w:val="center"/>
          </w:tcPr>
          <w:p>
            <w:pPr>
              <w:tabs>
                <w:tab w:val="left" w:pos="360"/>
              </w:tabs>
              <w:spacing w:line="283"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659" w:type="pct"/>
            <w:gridSpan w:val="2"/>
            <w:vAlign w:val="center"/>
          </w:tcPr>
          <w:p>
            <w:pPr>
              <w:tabs>
                <w:tab w:val="left" w:pos="360"/>
              </w:tabs>
              <w:spacing w:line="283" w:lineRule="auto"/>
              <w:jc w:val="center"/>
              <w:rPr>
                <w:rFonts w:hint="eastAsia" w:ascii="宋体" w:hAnsi="宋体" w:eastAsia="宋体" w:cs="宋体"/>
                <w:sz w:val="21"/>
                <w:szCs w:val="21"/>
              </w:rPr>
            </w:pPr>
            <w:r>
              <w:rPr>
                <w:rFonts w:hint="eastAsia" w:ascii="宋体" w:hAnsi="宋体" w:eastAsia="宋体" w:cs="宋体"/>
                <w:sz w:val="21"/>
                <w:szCs w:val="21"/>
              </w:rPr>
              <w:t>001983</w:t>
            </w:r>
          </w:p>
        </w:tc>
        <w:tc>
          <w:tcPr>
            <w:tcW w:w="891" w:type="pct"/>
            <w:vAlign w:val="center"/>
          </w:tcPr>
          <w:p>
            <w:pPr>
              <w:widowControl/>
              <w:spacing w:line="283" w:lineRule="auto"/>
              <w:jc w:val="center"/>
              <w:rPr>
                <w:rFonts w:hint="eastAsia" w:ascii="宋体" w:hAnsi="宋体" w:eastAsia="宋体" w:cs="宋体"/>
                <w:sz w:val="21"/>
                <w:szCs w:val="21"/>
              </w:rPr>
            </w:pPr>
            <w:r>
              <w:rPr>
                <w:rFonts w:hint="eastAsia" w:ascii="宋体" w:hAnsi="宋体" w:eastAsia="宋体" w:cs="宋体"/>
                <w:sz w:val="21"/>
                <w:szCs w:val="21"/>
              </w:rPr>
              <w:t>BXHJ600799</w:t>
            </w:r>
          </w:p>
        </w:tc>
        <w:tc>
          <w:tcPr>
            <w:tcW w:w="1387" w:type="pct"/>
            <w:vAlign w:val="center"/>
          </w:tcPr>
          <w:p>
            <w:pPr>
              <w:tabs>
                <w:tab w:val="left" w:pos="360"/>
              </w:tabs>
              <w:spacing w:line="283" w:lineRule="auto"/>
              <w:rPr>
                <w:rFonts w:hint="eastAsia" w:ascii="宋体" w:hAnsi="宋体" w:eastAsia="宋体" w:cs="宋体"/>
                <w:sz w:val="21"/>
                <w:szCs w:val="21"/>
              </w:rPr>
            </w:pPr>
            <w:r>
              <w:rPr>
                <w:rFonts w:hint="eastAsia" w:ascii="宋体" w:hAnsi="宋体" w:eastAsia="宋体" w:cs="宋体"/>
                <w:sz w:val="21"/>
                <w:szCs w:val="21"/>
              </w:rPr>
              <w:t>中期考核（硕）</w:t>
            </w:r>
          </w:p>
        </w:tc>
        <w:tc>
          <w:tcPr>
            <w:tcW w:w="304" w:type="pct"/>
            <w:vAlign w:val="center"/>
          </w:tcPr>
          <w:p>
            <w:pPr>
              <w:spacing w:line="283" w:lineRule="auto"/>
              <w:ind w:right="-42" w:rightChars="-20"/>
              <w:jc w:val="center"/>
              <w:rPr>
                <w:rFonts w:hint="eastAsia" w:ascii="宋体" w:hAnsi="宋体" w:eastAsia="宋体" w:cs="宋体"/>
                <w:sz w:val="21"/>
                <w:szCs w:val="21"/>
              </w:rPr>
            </w:pPr>
            <w:r>
              <w:rPr>
                <w:rFonts w:hint="eastAsia" w:ascii="宋体" w:hAnsi="宋体" w:eastAsia="宋体" w:cs="宋体"/>
                <w:sz w:val="21"/>
                <w:szCs w:val="21"/>
              </w:rPr>
              <w:t>3</w:t>
            </w:r>
          </w:p>
        </w:tc>
        <w:tc>
          <w:tcPr>
            <w:tcW w:w="427" w:type="pct"/>
            <w:vMerge w:val="continue"/>
            <w:vAlign w:val="center"/>
          </w:tcPr>
          <w:p>
            <w:pPr>
              <w:spacing w:line="283" w:lineRule="auto"/>
              <w:ind w:right="-42" w:rightChars="-20"/>
              <w:jc w:val="center"/>
              <w:rPr>
                <w:rFonts w:hint="eastAsia" w:ascii="宋体" w:hAnsi="宋体" w:eastAsia="宋体" w:cs="宋体"/>
                <w:sz w:val="21"/>
                <w:szCs w:val="21"/>
              </w:rPr>
            </w:pPr>
          </w:p>
        </w:tc>
        <w:tc>
          <w:tcPr>
            <w:tcW w:w="320" w:type="pct"/>
            <w:vMerge w:val="continue"/>
          </w:tcPr>
          <w:p>
            <w:pPr>
              <w:spacing w:line="283" w:lineRule="auto"/>
              <w:ind w:right="-42" w:rightChars="-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50" w:type="pct"/>
            <w:gridSpan w:val="2"/>
            <w:vMerge w:val="continue"/>
          </w:tcPr>
          <w:p>
            <w:pPr>
              <w:spacing w:line="283" w:lineRule="auto"/>
              <w:ind w:left="-42" w:leftChars="-20" w:right="-42" w:rightChars="-20"/>
              <w:jc w:val="center"/>
              <w:rPr>
                <w:rFonts w:hint="eastAsia" w:ascii="宋体" w:hAnsi="宋体" w:eastAsia="宋体" w:cs="宋体"/>
                <w:sz w:val="21"/>
                <w:szCs w:val="21"/>
              </w:rPr>
            </w:pPr>
          </w:p>
        </w:tc>
        <w:tc>
          <w:tcPr>
            <w:tcW w:w="357" w:type="pct"/>
            <w:vAlign w:val="center"/>
          </w:tcPr>
          <w:p>
            <w:pPr>
              <w:tabs>
                <w:tab w:val="left" w:pos="360"/>
              </w:tabs>
              <w:spacing w:line="283"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659" w:type="pct"/>
            <w:gridSpan w:val="2"/>
            <w:vAlign w:val="center"/>
          </w:tcPr>
          <w:p>
            <w:pPr>
              <w:tabs>
                <w:tab w:val="left" w:pos="360"/>
              </w:tabs>
              <w:spacing w:line="283" w:lineRule="auto"/>
              <w:jc w:val="center"/>
              <w:rPr>
                <w:rFonts w:hint="eastAsia" w:ascii="宋体" w:hAnsi="宋体" w:eastAsia="宋体" w:cs="宋体"/>
                <w:sz w:val="21"/>
                <w:szCs w:val="21"/>
              </w:rPr>
            </w:pPr>
            <w:r>
              <w:rPr>
                <w:rFonts w:hint="eastAsia" w:ascii="宋体" w:hAnsi="宋体" w:eastAsia="宋体" w:cs="宋体"/>
                <w:sz w:val="21"/>
                <w:szCs w:val="21"/>
              </w:rPr>
              <w:t>001981</w:t>
            </w:r>
          </w:p>
        </w:tc>
        <w:tc>
          <w:tcPr>
            <w:tcW w:w="891" w:type="pct"/>
            <w:vAlign w:val="center"/>
          </w:tcPr>
          <w:p>
            <w:pPr>
              <w:widowControl/>
              <w:spacing w:line="283" w:lineRule="auto"/>
              <w:jc w:val="center"/>
              <w:rPr>
                <w:rFonts w:hint="eastAsia" w:ascii="宋体" w:hAnsi="宋体" w:eastAsia="宋体" w:cs="宋体"/>
                <w:sz w:val="21"/>
                <w:szCs w:val="21"/>
              </w:rPr>
            </w:pPr>
            <w:r>
              <w:rPr>
                <w:rFonts w:hint="eastAsia" w:ascii="宋体" w:hAnsi="宋体" w:eastAsia="宋体" w:cs="宋体"/>
                <w:sz w:val="21"/>
                <w:szCs w:val="21"/>
              </w:rPr>
              <w:t>BXHJ600999</w:t>
            </w:r>
          </w:p>
        </w:tc>
        <w:tc>
          <w:tcPr>
            <w:tcW w:w="1387" w:type="pct"/>
            <w:vAlign w:val="center"/>
          </w:tcPr>
          <w:p>
            <w:pPr>
              <w:tabs>
                <w:tab w:val="left" w:pos="360"/>
              </w:tabs>
              <w:spacing w:line="283" w:lineRule="auto"/>
              <w:rPr>
                <w:rFonts w:hint="eastAsia" w:ascii="宋体" w:hAnsi="宋体" w:eastAsia="宋体" w:cs="宋体"/>
                <w:sz w:val="21"/>
                <w:szCs w:val="21"/>
              </w:rPr>
            </w:pPr>
            <w:r>
              <w:rPr>
                <w:rFonts w:hint="eastAsia" w:ascii="宋体" w:hAnsi="宋体" w:eastAsia="宋体" w:cs="宋体"/>
                <w:sz w:val="21"/>
                <w:szCs w:val="21"/>
              </w:rPr>
              <w:t>专业实践[校内+校外]</w:t>
            </w:r>
          </w:p>
        </w:tc>
        <w:tc>
          <w:tcPr>
            <w:tcW w:w="304" w:type="pct"/>
            <w:vAlign w:val="center"/>
          </w:tcPr>
          <w:p>
            <w:pPr>
              <w:spacing w:line="283" w:lineRule="auto"/>
              <w:ind w:right="-42" w:rightChars="-20"/>
              <w:jc w:val="center"/>
              <w:rPr>
                <w:rFonts w:hint="eastAsia" w:ascii="宋体" w:hAnsi="宋体" w:eastAsia="宋体" w:cs="宋体"/>
                <w:sz w:val="21"/>
                <w:szCs w:val="21"/>
              </w:rPr>
            </w:pPr>
            <w:r>
              <w:rPr>
                <w:rFonts w:hint="eastAsia" w:ascii="宋体" w:hAnsi="宋体" w:eastAsia="宋体" w:cs="宋体"/>
                <w:sz w:val="21"/>
                <w:szCs w:val="21"/>
              </w:rPr>
              <w:t>8</w:t>
            </w:r>
          </w:p>
        </w:tc>
        <w:tc>
          <w:tcPr>
            <w:tcW w:w="427" w:type="pct"/>
            <w:vMerge w:val="continue"/>
            <w:vAlign w:val="center"/>
          </w:tcPr>
          <w:p>
            <w:pPr>
              <w:spacing w:line="283" w:lineRule="auto"/>
              <w:ind w:right="-42" w:rightChars="-20"/>
              <w:jc w:val="center"/>
              <w:rPr>
                <w:rFonts w:hint="eastAsia" w:ascii="宋体" w:hAnsi="宋体" w:eastAsia="宋体" w:cs="宋体"/>
                <w:sz w:val="21"/>
                <w:szCs w:val="21"/>
              </w:rPr>
            </w:pPr>
          </w:p>
        </w:tc>
        <w:tc>
          <w:tcPr>
            <w:tcW w:w="320" w:type="pct"/>
            <w:vMerge w:val="continue"/>
          </w:tcPr>
          <w:p>
            <w:pPr>
              <w:spacing w:line="283" w:lineRule="auto"/>
              <w:ind w:right="-42" w:rightChars="-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50" w:type="pct"/>
            <w:gridSpan w:val="2"/>
            <w:vMerge w:val="continue"/>
          </w:tcPr>
          <w:p>
            <w:pPr>
              <w:spacing w:line="283" w:lineRule="auto"/>
              <w:ind w:left="-42" w:leftChars="-20" w:right="-42" w:rightChars="-20"/>
              <w:jc w:val="center"/>
              <w:rPr>
                <w:rFonts w:hint="eastAsia" w:ascii="宋体" w:hAnsi="宋体" w:eastAsia="宋体" w:cs="宋体"/>
                <w:sz w:val="21"/>
                <w:szCs w:val="21"/>
              </w:rPr>
            </w:pPr>
          </w:p>
        </w:tc>
        <w:tc>
          <w:tcPr>
            <w:tcW w:w="357" w:type="pct"/>
            <w:vAlign w:val="center"/>
          </w:tcPr>
          <w:p>
            <w:pPr>
              <w:tabs>
                <w:tab w:val="left" w:pos="360"/>
              </w:tabs>
              <w:spacing w:line="283"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659" w:type="pct"/>
            <w:gridSpan w:val="2"/>
          </w:tcPr>
          <w:p>
            <w:pPr>
              <w:tabs>
                <w:tab w:val="left" w:pos="360"/>
              </w:tabs>
              <w:spacing w:line="283" w:lineRule="auto"/>
              <w:jc w:val="center"/>
              <w:rPr>
                <w:rFonts w:hint="eastAsia" w:ascii="宋体" w:hAnsi="宋体" w:eastAsia="宋体" w:cs="宋体"/>
                <w:sz w:val="21"/>
                <w:szCs w:val="21"/>
              </w:rPr>
            </w:pPr>
            <w:r>
              <w:rPr>
                <w:rFonts w:hint="eastAsia" w:ascii="宋体" w:hAnsi="宋体" w:eastAsia="宋体" w:cs="宋体"/>
                <w:sz w:val="21"/>
                <w:szCs w:val="21"/>
              </w:rPr>
              <w:t>001954</w:t>
            </w:r>
          </w:p>
        </w:tc>
        <w:tc>
          <w:tcPr>
            <w:tcW w:w="891" w:type="pct"/>
            <w:vAlign w:val="center"/>
          </w:tcPr>
          <w:p>
            <w:pPr>
              <w:widowControl/>
              <w:spacing w:line="283" w:lineRule="auto"/>
              <w:jc w:val="center"/>
              <w:rPr>
                <w:rFonts w:hint="eastAsia" w:ascii="宋体" w:hAnsi="宋体" w:eastAsia="宋体" w:cs="宋体"/>
                <w:sz w:val="21"/>
                <w:szCs w:val="21"/>
              </w:rPr>
            </w:pPr>
            <w:r>
              <w:rPr>
                <w:rFonts w:hint="eastAsia" w:ascii="宋体" w:hAnsi="宋体" w:eastAsia="宋体" w:cs="宋体"/>
                <w:sz w:val="21"/>
                <w:szCs w:val="21"/>
              </w:rPr>
              <w:t>BXHJ602499</w:t>
            </w:r>
          </w:p>
        </w:tc>
        <w:tc>
          <w:tcPr>
            <w:tcW w:w="1387" w:type="pct"/>
            <w:vAlign w:val="center"/>
          </w:tcPr>
          <w:p>
            <w:pPr>
              <w:tabs>
                <w:tab w:val="left" w:pos="360"/>
              </w:tabs>
              <w:spacing w:line="283" w:lineRule="auto"/>
              <w:rPr>
                <w:rFonts w:hint="eastAsia" w:ascii="宋体" w:hAnsi="宋体" w:eastAsia="宋体" w:cs="宋体"/>
                <w:sz w:val="21"/>
                <w:szCs w:val="21"/>
              </w:rPr>
            </w:pPr>
            <w:r>
              <w:rPr>
                <w:rFonts w:hint="eastAsia" w:ascii="宋体" w:hAnsi="宋体" w:eastAsia="宋体" w:cs="宋体"/>
                <w:kern w:val="0"/>
                <w:sz w:val="21"/>
                <w:szCs w:val="21"/>
              </w:rPr>
              <w:t>劳动教育</w:t>
            </w:r>
          </w:p>
        </w:tc>
        <w:tc>
          <w:tcPr>
            <w:tcW w:w="304" w:type="pct"/>
            <w:vAlign w:val="center"/>
          </w:tcPr>
          <w:p>
            <w:pPr>
              <w:spacing w:line="283" w:lineRule="auto"/>
              <w:ind w:right="-42" w:rightChars="-20"/>
              <w:jc w:val="center"/>
              <w:rPr>
                <w:rFonts w:hint="eastAsia" w:ascii="宋体" w:hAnsi="宋体" w:eastAsia="宋体" w:cs="宋体"/>
                <w:sz w:val="21"/>
                <w:szCs w:val="21"/>
              </w:rPr>
            </w:pPr>
            <w:r>
              <w:rPr>
                <w:rFonts w:hint="eastAsia" w:ascii="宋体" w:hAnsi="宋体" w:eastAsia="宋体" w:cs="宋体"/>
                <w:kern w:val="0"/>
                <w:sz w:val="21"/>
                <w:szCs w:val="21"/>
              </w:rPr>
              <w:t>0</w:t>
            </w:r>
          </w:p>
        </w:tc>
        <w:tc>
          <w:tcPr>
            <w:tcW w:w="427" w:type="pct"/>
            <w:vMerge w:val="continue"/>
            <w:vAlign w:val="center"/>
          </w:tcPr>
          <w:p>
            <w:pPr>
              <w:spacing w:line="283" w:lineRule="auto"/>
              <w:ind w:right="-42" w:rightChars="-20"/>
              <w:jc w:val="center"/>
              <w:rPr>
                <w:rFonts w:hint="eastAsia" w:ascii="宋体" w:hAnsi="宋体" w:eastAsia="宋体" w:cs="宋体"/>
                <w:sz w:val="21"/>
                <w:szCs w:val="21"/>
              </w:rPr>
            </w:pPr>
          </w:p>
        </w:tc>
        <w:tc>
          <w:tcPr>
            <w:tcW w:w="320" w:type="pct"/>
            <w:vMerge w:val="continue"/>
          </w:tcPr>
          <w:p>
            <w:pPr>
              <w:spacing w:line="283" w:lineRule="auto"/>
              <w:ind w:right="-42" w:rightChars="-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50" w:type="pct"/>
            <w:gridSpan w:val="2"/>
            <w:vMerge w:val="continue"/>
          </w:tcPr>
          <w:p>
            <w:pPr>
              <w:spacing w:line="283" w:lineRule="auto"/>
              <w:ind w:left="-42" w:leftChars="-20" w:right="-42" w:rightChars="-20"/>
              <w:jc w:val="center"/>
              <w:rPr>
                <w:rFonts w:hint="eastAsia" w:ascii="宋体" w:hAnsi="宋体" w:eastAsia="宋体" w:cs="宋体"/>
                <w:sz w:val="21"/>
                <w:szCs w:val="21"/>
              </w:rPr>
            </w:pPr>
          </w:p>
        </w:tc>
        <w:tc>
          <w:tcPr>
            <w:tcW w:w="357" w:type="pct"/>
            <w:vAlign w:val="center"/>
          </w:tcPr>
          <w:p>
            <w:pPr>
              <w:tabs>
                <w:tab w:val="left" w:pos="360"/>
              </w:tabs>
              <w:spacing w:line="283"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659" w:type="pct"/>
            <w:gridSpan w:val="2"/>
          </w:tcPr>
          <w:p>
            <w:pPr>
              <w:tabs>
                <w:tab w:val="left" w:pos="360"/>
              </w:tabs>
              <w:spacing w:line="283" w:lineRule="auto"/>
              <w:jc w:val="center"/>
              <w:rPr>
                <w:rFonts w:hint="eastAsia" w:ascii="宋体" w:hAnsi="宋体" w:eastAsia="宋体" w:cs="宋体"/>
                <w:sz w:val="21"/>
                <w:szCs w:val="21"/>
              </w:rPr>
            </w:pPr>
            <w:r>
              <w:rPr>
                <w:rFonts w:hint="eastAsia" w:ascii="宋体" w:hAnsi="宋体" w:eastAsia="宋体" w:cs="宋体"/>
                <w:sz w:val="21"/>
                <w:szCs w:val="21"/>
              </w:rPr>
              <w:t>001955</w:t>
            </w:r>
          </w:p>
        </w:tc>
        <w:tc>
          <w:tcPr>
            <w:tcW w:w="891" w:type="pct"/>
            <w:vAlign w:val="center"/>
          </w:tcPr>
          <w:p>
            <w:pPr>
              <w:widowControl/>
              <w:spacing w:line="283" w:lineRule="auto"/>
              <w:jc w:val="center"/>
              <w:rPr>
                <w:rFonts w:hint="eastAsia" w:ascii="宋体" w:hAnsi="宋体" w:eastAsia="宋体" w:cs="宋体"/>
                <w:sz w:val="21"/>
                <w:szCs w:val="21"/>
              </w:rPr>
            </w:pPr>
            <w:r>
              <w:rPr>
                <w:rFonts w:hint="eastAsia" w:ascii="宋体" w:hAnsi="宋体" w:eastAsia="宋体" w:cs="宋体"/>
                <w:sz w:val="21"/>
                <w:szCs w:val="21"/>
              </w:rPr>
              <w:t>BXHJ602399</w:t>
            </w:r>
          </w:p>
        </w:tc>
        <w:tc>
          <w:tcPr>
            <w:tcW w:w="1387" w:type="pct"/>
            <w:vAlign w:val="center"/>
          </w:tcPr>
          <w:p>
            <w:pPr>
              <w:tabs>
                <w:tab w:val="left" w:pos="360"/>
              </w:tabs>
              <w:spacing w:line="283" w:lineRule="auto"/>
              <w:rPr>
                <w:rFonts w:hint="eastAsia" w:ascii="宋体" w:hAnsi="宋体" w:eastAsia="宋体" w:cs="宋体"/>
                <w:kern w:val="0"/>
                <w:sz w:val="21"/>
                <w:szCs w:val="21"/>
              </w:rPr>
            </w:pPr>
            <w:r>
              <w:rPr>
                <w:rFonts w:hint="eastAsia" w:ascii="宋体" w:hAnsi="宋体" w:eastAsia="宋体" w:cs="宋体"/>
                <w:kern w:val="0"/>
                <w:sz w:val="21"/>
                <w:szCs w:val="21"/>
              </w:rPr>
              <w:t>美育</w:t>
            </w:r>
          </w:p>
        </w:tc>
        <w:tc>
          <w:tcPr>
            <w:tcW w:w="304" w:type="pct"/>
            <w:vAlign w:val="center"/>
          </w:tcPr>
          <w:p>
            <w:pPr>
              <w:spacing w:line="283" w:lineRule="auto"/>
              <w:ind w:right="-42" w:rightChars="-20"/>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427" w:type="pct"/>
            <w:vMerge w:val="continue"/>
            <w:vAlign w:val="center"/>
          </w:tcPr>
          <w:p>
            <w:pPr>
              <w:spacing w:line="283" w:lineRule="auto"/>
              <w:ind w:right="-42" w:rightChars="-20"/>
              <w:jc w:val="center"/>
              <w:rPr>
                <w:rFonts w:hint="eastAsia" w:ascii="宋体" w:hAnsi="宋体" w:eastAsia="宋体" w:cs="宋体"/>
                <w:sz w:val="21"/>
                <w:szCs w:val="21"/>
              </w:rPr>
            </w:pPr>
          </w:p>
        </w:tc>
        <w:tc>
          <w:tcPr>
            <w:tcW w:w="320" w:type="pct"/>
            <w:vMerge w:val="continue"/>
          </w:tcPr>
          <w:p>
            <w:pPr>
              <w:spacing w:line="283" w:lineRule="auto"/>
              <w:ind w:right="-42" w:rightChars="-2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50" w:type="pct"/>
            <w:gridSpan w:val="2"/>
            <w:vMerge w:val="continue"/>
          </w:tcPr>
          <w:p>
            <w:pPr>
              <w:spacing w:line="283" w:lineRule="auto"/>
              <w:ind w:left="-42" w:leftChars="-20" w:right="-42" w:rightChars="-20"/>
              <w:jc w:val="center"/>
              <w:rPr>
                <w:rFonts w:hint="eastAsia" w:ascii="宋体" w:hAnsi="宋体" w:eastAsia="宋体" w:cs="宋体"/>
                <w:sz w:val="21"/>
                <w:szCs w:val="21"/>
              </w:rPr>
            </w:pPr>
          </w:p>
        </w:tc>
        <w:tc>
          <w:tcPr>
            <w:tcW w:w="357" w:type="pct"/>
            <w:vAlign w:val="center"/>
          </w:tcPr>
          <w:p>
            <w:pPr>
              <w:tabs>
                <w:tab w:val="left" w:pos="360"/>
              </w:tabs>
              <w:spacing w:line="283"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659" w:type="pct"/>
            <w:gridSpan w:val="2"/>
          </w:tcPr>
          <w:p>
            <w:pPr>
              <w:tabs>
                <w:tab w:val="left" w:pos="360"/>
              </w:tabs>
              <w:spacing w:line="283" w:lineRule="auto"/>
              <w:jc w:val="center"/>
              <w:rPr>
                <w:rFonts w:hint="eastAsia" w:ascii="宋体" w:hAnsi="宋体" w:eastAsia="宋体" w:cs="宋体"/>
                <w:sz w:val="21"/>
                <w:szCs w:val="21"/>
              </w:rPr>
            </w:pPr>
            <w:r>
              <w:rPr>
                <w:rFonts w:hint="eastAsia" w:ascii="宋体" w:hAnsi="宋体" w:eastAsia="宋体" w:cs="宋体"/>
                <w:sz w:val="21"/>
                <w:szCs w:val="21"/>
              </w:rPr>
              <w:t>001956</w:t>
            </w:r>
          </w:p>
        </w:tc>
        <w:tc>
          <w:tcPr>
            <w:tcW w:w="891" w:type="pct"/>
            <w:vAlign w:val="center"/>
          </w:tcPr>
          <w:p>
            <w:pPr>
              <w:widowControl/>
              <w:spacing w:line="283" w:lineRule="auto"/>
              <w:jc w:val="center"/>
              <w:rPr>
                <w:rFonts w:hint="eastAsia" w:ascii="宋体" w:hAnsi="宋体" w:eastAsia="宋体" w:cs="宋体"/>
                <w:sz w:val="21"/>
                <w:szCs w:val="21"/>
              </w:rPr>
            </w:pPr>
            <w:r>
              <w:rPr>
                <w:rFonts w:hint="eastAsia" w:ascii="宋体" w:hAnsi="宋体" w:eastAsia="宋体" w:cs="宋体"/>
                <w:sz w:val="21"/>
                <w:szCs w:val="21"/>
              </w:rPr>
              <w:t>BXHJ602299</w:t>
            </w:r>
          </w:p>
        </w:tc>
        <w:tc>
          <w:tcPr>
            <w:tcW w:w="1387" w:type="pct"/>
            <w:vAlign w:val="center"/>
          </w:tcPr>
          <w:p>
            <w:pPr>
              <w:tabs>
                <w:tab w:val="left" w:pos="360"/>
              </w:tabs>
              <w:spacing w:line="283" w:lineRule="auto"/>
              <w:rPr>
                <w:rFonts w:hint="eastAsia" w:ascii="宋体" w:hAnsi="宋体" w:eastAsia="宋体" w:cs="宋体"/>
                <w:kern w:val="0"/>
                <w:sz w:val="21"/>
                <w:szCs w:val="21"/>
              </w:rPr>
            </w:pPr>
            <w:r>
              <w:rPr>
                <w:rFonts w:hint="eastAsia" w:ascii="宋体" w:hAnsi="宋体" w:eastAsia="宋体" w:cs="宋体"/>
                <w:kern w:val="0"/>
                <w:sz w:val="21"/>
                <w:szCs w:val="21"/>
              </w:rPr>
              <w:t>体育</w:t>
            </w:r>
          </w:p>
        </w:tc>
        <w:tc>
          <w:tcPr>
            <w:tcW w:w="304" w:type="pct"/>
            <w:vAlign w:val="center"/>
          </w:tcPr>
          <w:p>
            <w:pPr>
              <w:spacing w:line="283" w:lineRule="auto"/>
              <w:ind w:right="-42" w:rightChars="-20"/>
              <w:jc w:val="center"/>
              <w:rPr>
                <w:rFonts w:hint="eastAsia" w:ascii="宋体" w:hAnsi="宋体" w:eastAsia="宋体" w:cs="宋体"/>
                <w:kern w:val="0"/>
                <w:sz w:val="21"/>
                <w:szCs w:val="21"/>
              </w:rPr>
            </w:pPr>
            <w:r>
              <w:rPr>
                <w:rFonts w:hint="eastAsia" w:ascii="宋体" w:hAnsi="宋体" w:eastAsia="宋体" w:cs="宋体"/>
                <w:kern w:val="0"/>
                <w:sz w:val="21"/>
                <w:szCs w:val="21"/>
              </w:rPr>
              <w:t>0</w:t>
            </w:r>
          </w:p>
        </w:tc>
        <w:tc>
          <w:tcPr>
            <w:tcW w:w="427" w:type="pct"/>
            <w:vMerge w:val="continue"/>
            <w:vAlign w:val="center"/>
          </w:tcPr>
          <w:p>
            <w:pPr>
              <w:spacing w:line="283" w:lineRule="auto"/>
              <w:ind w:right="-42" w:rightChars="-20"/>
              <w:jc w:val="center"/>
              <w:rPr>
                <w:rFonts w:hint="eastAsia" w:ascii="宋体" w:hAnsi="宋体" w:eastAsia="宋体" w:cs="宋体"/>
                <w:sz w:val="21"/>
                <w:szCs w:val="21"/>
              </w:rPr>
            </w:pPr>
          </w:p>
        </w:tc>
        <w:tc>
          <w:tcPr>
            <w:tcW w:w="320" w:type="pct"/>
            <w:vMerge w:val="continue"/>
          </w:tcPr>
          <w:p>
            <w:pPr>
              <w:spacing w:line="283" w:lineRule="auto"/>
              <w:ind w:right="-42" w:rightChars="-20"/>
              <w:jc w:val="center"/>
              <w:rPr>
                <w:rFonts w:hint="eastAsia" w:ascii="宋体" w:hAnsi="宋体" w:eastAsia="宋体" w:cs="宋体"/>
                <w:sz w:val="21"/>
                <w:szCs w:val="21"/>
              </w:rPr>
            </w:pPr>
          </w:p>
        </w:tc>
      </w:tr>
    </w:tbl>
    <w:p>
      <w:pPr>
        <w:spacing w:before="120" w:beforeLines="50" w:line="286" w:lineRule="auto"/>
        <w:rPr>
          <w:b/>
          <w:szCs w:val="21"/>
        </w:rPr>
      </w:pPr>
      <w:r>
        <w:rPr>
          <w:rFonts w:hint="eastAsia"/>
          <w:b/>
          <w:szCs w:val="21"/>
        </w:rPr>
        <w:t>备注：</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b/>
          <w:szCs w:val="21"/>
        </w:rPr>
      </w:pPr>
      <w:r>
        <w:rPr>
          <w:rFonts w:hint="eastAsia"/>
          <w:szCs w:val="21"/>
        </w:rPr>
        <w:t>① 教育部规定必修学位课程，由研究生院统筹安排。② 专业学位课为本专业学位类别或领域核心知识内容，同一专业学位类别或领域的核心课程应基本相同。</w:t>
      </w:r>
      <w:r>
        <w:rPr>
          <w:rFonts w:hint="eastAsia" w:ascii="宋体" w:hAnsi="宋体"/>
          <w:kern w:val="0"/>
          <w:szCs w:val="21"/>
        </w:rPr>
        <w:t xml:space="preserve">实践课为满足研究生在专业实践和课题研发中所需的专业知识的实践性课程。实践课门数不限，合计4学分。③ </w:t>
      </w:r>
      <w:r>
        <w:rPr>
          <w:rFonts w:hint="eastAsia"/>
          <w:szCs w:val="21"/>
        </w:rPr>
        <w:t>实践性课程</w:t>
      </w:r>
      <w:r>
        <w:rPr>
          <w:rFonts w:hint="eastAsia" w:ascii="宋体" w:hAnsi="宋体"/>
          <w:kern w:val="0"/>
          <w:szCs w:val="21"/>
        </w:rPr>
        <w:t xml:space="preserve">为按照本方向需求而专门定制的课程。④ </w:t>
      </w:r>
      <w:r>
        <w:rPr>
          <w:rFonts w:hint="eastAsia"/>
          <w:szCs w:val="21"/>
        </w:rPr>
        <w:t>任意</w:t>
      </w:r>
      <w:r>
        <w:rPr>
          <w:rFonts w:hint="eastAsia" w:ascii="宋体" w:hAnsi="宋体"/>
          <w:kern w:val="0"/>
          <w:szCs w:val="21"/>
        </w:rPr>
        <w:t>选修课为满足研究生专业知识技能培养需要而</w:t>
      </w:r>
      <w:r>
        <w:rPr>
          <w:rFonts w:ascii="宋体" w:hAnsi="宋体"/>
          <w:kern w:val="0"/>
          <w:szCs w:val="21"/>
        </w:rPr>
        <w:t>选择修习</w:t>
      </w:r>
      <w:r>
        <w:rPr>
          <w:rFonts w:hint="eastAsia" w:ascii="宋体" w:hAnsi="宋体"/>
          <w:kern w:val="0"/>
          <w:szCs w:val="21"/>
        </w:rPr>
        <w:t>的</w:t>
      </w:r>
      <w:r>
        <w:rPr>
          <w:rFonts w:ascii="宋体" w:hAnsi="宋体"/>
          <w:kern w:val="0"/>
          <w:szCs w:val="21"/>
        </w:rPr>
        <w:t>课程</w:t>
      </w:r>
      <w:r>
        <w:rPr>
          <w:rFonts w:hint="eastAsia" w:ascii="宋体" w:hAnsi="宋体"/>
          <w:kern w:val="0"/>
          <w:szCs w:val="21"/>
        </w:rPr>
        <w:t>。</w:t>
      </w:r>
      <w:r>
        <w:rPr>
          <w:rFonts w:hint="eastAsia" w:ascii="仿宋" w:hAnsi="仿宋" w:eastAsia="仿宋"/>
          <w:kern w:val="0"/>
          <w:szCs w:val="21"/>
        </w:rPr>
        <w:t>提示：为充分利用合作单位智力资源，在以上专业学位课和选修课中，由合作单位专家讲授的课程不少于4学分。</w:t>
      </w:r>
      <w:r>
        <w:rPr>
          <w:rFonts w:hint="eastAsia" w:ascii="宋体" w:hAnsi="宋体"/>
          <w:kern w:val="0"/>
          <w:szCs w:val="21"/>
        </w:rPr>
        <w:t xml:space="preserve">⑤ </w:t>
      </w:r>
      <w:r>
        <w:rPr>
          <w:rFonts w:hint="eastAsia"/>
          <w:szCs w:val="21"/>
        </w:rPr>
        <w:t>学术</w:t>
      </w:r>
      <w:r>
        <w:rPr>
          <w:rFonts w:hint="eastAsia" w:ascii="宋体" w:hAnsi="宋体"/>
          <w:kern w:val="0"/>
          <w:szCs w:val="21"/>
        </w:rPr>
        <w:t>活动（讲座）是指本学科所开系列讲座、学术活动；中期考核具体内容可包括：论文研究内容简介、研究进展情况、下一步工作计划等；专业实践按学校规定执行。</w:t>
      </w:r>
    </w:p>
    <w:p>
      <w:pPr>
        <w:spacing w:before="120" w:beforeLines="50" w:after="120" w:afterLines="50" w:line="286" w:lineRule="auto"/>
        <w:rPr>
          <w:rFonts w:ascii="黑体" w:hAnsi="宋体" w:eastAsia="黑体"/>
          <w:sz w:val="24"/>
        </w:rPr>
      </w:pPr>
      <w:r>
        <w:rPr>
          <w:rFonts w:hint="eastAsia" w:ascii="黑体" w:hAnsi="宋体" w:eastAsia="黑体"/>
          <w:sz w:val="24"/>
        </w:rPr>
        <w:t>四、课程学习</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宋体" w:hAnsi="宋体"/>
          <w:kern w:val="0"/>
          <w:szCs w:val="21"/>
        </w:rPr>
      </w:pPr>
      <w:r>
        <w:rPr>
          <w:rFonts w:hint="eastAsia" w:ascii="宋体" w:hAnsi="宋体"/>
          <w:kern w:val="0"/>
          <w:szCs w:val="21"/>
        </w:rPr>
        <w:t>课程学习包括：学位课22学分，选修课4学分。</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宋体" w:hAnsi="宋体"/>
          <w:kern w:val="0"/>
          <w:szCs w:val="21"/>
        </w:rPr>
      </w:pPr>
      <w:r>
        <w:rPr>
          <w:rFonts w:hint="eastAsia" w:ascii="宋体" w:hAnsi="宋体"/>
          <w:kern w:val="0"/>
          <w:szCs w:val="21"/>
        </w:rPr>
        <w:t>必修环节包括：学术活动（讲座）1学分，中期考核3学分，专业实践8学分。</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宋体" w:hAnsi="宋体"/>
          <w:kern w:val="0"/>
          <w:szCs w:val="21"/>
        </w:rPr>
      </w:pPr>
      <w:r>
        <w:rPr>
          <w:rFonts w:hint="eastAsia" w:ascii="宋体" w:hAnsi="宋体"/>
          <w:kern w:val="0"/>
          <w:szCs w:val="21"/>
        </w:rPr>
        <w:t>本培养方向的学位课程要求在入学后第1学期内完成，部分选修课在第2学期前半学期完成。</w:t>
      </w:r>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宋体" w:eastAsia="黑体"/>
          <w:sz w:val="24"/>
        </w:rPr>
      </w:pPr>
      <w:r>
        <w:rPr>
          <w:rFonts w:hint="eastAsia" w:ascii="黑体" w:hAnsi="宋体" w:eastAsia="黑体"/>
          <w:sz w:val="24"/>
        </w:rPr>
        <w:t>五、专业实践</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kern w:val="0"/>
          <w:szCs w:val="21"/>
        </w:rPr>
      </w:pPr>
      <w:r>
        <w:rPr>
          <w:kern w:val="0"/>
          <w:szCs w:val="21"/>
        </w:rPr>
        <w:t>1．</w:t>
      </w:r>
      <w:r>
        <w:rPr>
          <w:rFonts w:hint="eastAsia"/>
          <w:kern w:val="0"/>
          <w:szCs w:val="21"/>
        </w:rPr>
        <w:t>专业实践与课题研究是重要的教学环节。研究生在学期间，必须保证不少于6个月的专业实践</w:t>
      </w:r>
      <w:r>
        <w:rPr>
          <w:kern w:val="0"/>
          <w:szCs w:val="21"/>
        </w:rPr>
        <w:t>，共计8学分。</w:t>
      </w:r>
      <w:r>
        <w:rPr>
          <w:rFonts w:hint="eastAsia"/>
          <w:kern w:val="0"/>
          <w:szCs w:val="21"/>
        </w:rPr>
        <w:t>专业实践可以在校内完成，也可以在校外完成。</w:t>
      </w:r>
      <w:r>
        <w:rPr>
          <w:kern w:val="0"/>
          <w:szCs w:val="21"/>
        </w:rPr>
        <w:t>校外专业实践通常安排在第二学期后半学期开始，在与合作单位共建的协同培养基地进行，实践时间不少于6个月。</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kern w:val="0"/>
          <w:szCs w:val="21"/>
        </w:rPr>
      </w:pPr>
      <w:r>
        <w:rPr>
          <w:kern w:val="0"/>
          <w:szCs w:val="21"/>
        </w:rPr>
        <w:t>2．</w:t>
      </w:r>
      <w:r>
        <w:rPr>
          <w:rFonts w:hint="eastAsia"/>
          <w:kern w:val="0"/>
          <w:szCs w:val="21"/>
        </w:rPr>
        <w:t>专业实践采取不同方式进行，各个专业领域应该根据自身专业特点及实习条件积极探索各自的专业实践方式。可采取集中实践与分段实践相结合的方式；也可以采取企业实践与参与导师应用型课题实践相结合的方式，鼓励企业实习为主的专业实践。专业实践在企业实习结束后或参加指导教师所指定的应用课题实践等专业实践后，学生由实习单位或者指导教师签署意见的书面实习报告，并经学院审查通过后可获得相应学分。</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kern w:val="0"/>
          <w:szCs w:val="21"/>
        </w:rPr>
      </w:pPr>
      <w:r>
        <w:rPr>
          <w:kern w:val="0"/>
          <w:szCs w:val="21"/>
        </w:rPr>
        <w:t>3</w:t>
      </w:r>
      <w:r>
        <w:rPr>
          <w:rFonts w:hint="eastAsia"/>
          <w:kern w:val="0"/>
          <w:szCs w:val="21"/>
        </w:rPr>
        <w:t>. 讲座是研究生开阔视野、了解相关学科、了解业界最新动态的良好平台，</w:t>
      </w:r>
      <w:r>
        <w:rPr>
          <w:rFonts w:hint="eastAsia"/>
          <w:szCs w:val="21"/>
        </w:rPr>
        <w:t>生物与医药硕士制药工程项目研究生</w:t>
      </w:r>
      <w:r>
        <w:rPr>
          <w:rFonts w:hint="eastAsia"/>
          <w:kern w:val="0"/>
          <w:szCs w:val="21"/>
        </w:rPr>
        <w:t>在学习期间应积极听取学术讲座。硕士研究生学术讲座分为必听讲座和选听讲座。必听讲座包括“科学道德与学风建设”1次、“职业生涯发展与规划导论”1次；选听讲座包括与学科紧密相关的“学科前沿系列专题讲座”一个系列和在全校范围内选听任意“学术讲座”1次，完成全部8个讲座后记1学分。</w:t>
      </w:r>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宋体" w:eastAsia="黑体"/>
          <w:sz w:val="24"/>
        </w:rPr>
      </w:pPr>
      <w:r>
        <w:rPr>
          <w:rFonts w:hint="eastAsia" w:ascii="黑体" w:hAnsi="宋体" w:eastAsia="黑体"/>
          <w:sz w:val="24"/>
        </w:rPr>
        <w:t>六、论文选题与中期考核</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kern w:val="0"/>
          <w:szCs w:val="21"/>
        </w:rPr>
      </w:pPr>
      <w:r>
        <w:rPr>
          <w:rFonts w:hint="eastAsia"/>
          <w:kern w:val="0"/>
          <w:szCs w:val="21"/>
        </w:rPr>
        <w:t>攻读</w:t>
      </w:r>
      <w:r>
        <w:rPr>
          <w:rFonts w:hint="eastAsia"/>
          <w:szCs w:val="21"/>
        </w:rPr>
        <w:t>生物与医药硕士制药工程项目研究生</w:t>
      </w:r>
      <w:r>
        <w:rPr>
          <w:rFonts w:hint="eastAsia"/>
          <w:kern w:val="0"/>
          <w:szCs w:val="21"/>
        </w:rPr>
        <w:t>入学后，在导师指导下根据本领域培养方案和研究生本人的具体情况制定个人培养计划，经培养单位负责人审定后实施。</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kern w:val="0"/>
          <w:szCs w:val="21"/>
        </w:rPr>
      </w:pPr>
      <w:r>
        <w:rPr>
          <w:rFonts w:hint="eastAsia"/>
          <w:kern w:val="0"/>
          <w:szCs w:val="21"/>
        </w:rPr>
        <w:t>论文选题</w:t>
      </w:r>
      <w:r>
        <w:rPr>
          <w:kern w:val="0"/>
          <w:szCs w:val="21"/>
        </w:rPr>
        <w:t>与中期考核</w:t>
      </w:r>
      <w:r>
        <w:rPr>
          <w:rFonts w:hint="eastAsia"/>
          <w:kern w:val="0"/>
          <w:szCs w:val="21"/>
        </w:rPr>
        <w:t>环节要求如下：</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kern w:val="0"/>
          <w:szCs w:val="21"/>
        </w:rPr>
      </w:pPr>
      <w:r>
        <w:rPr>
          <w:rFonts w:hint="eastAsia"/>
          <w:kern w:val="0"/>
          <w:szCs w:val="21"/>
        </w:rPr>
        <w:t>1．研究生应在学校导师与企业导师的共同指导下进行论文选题工作，通过查阅有关文献资料，掌握课题研究领域国内外最新发展动态，以保证选题的实用性和先进性。论文选题应来源于应用课题或现实问题，并具有明确的职业背景和应用价值。学位论文研究工作是工程类硕士专业学位研究生综合运用所学基础理论和专业知识，在一定实践经验基础上，掌握对工程实际问题研究能力的重要手段。</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kern w:val="0"/>
          <w:szCs w:val="21"/>
        </w:rPr>
      </w:pPr>
      <w:r>
        <w:rPr>
          <w:rFonts w:hint="eastAsia"/>
          <w:szCs w:val="21"/>
        </w:rPr>
        <w:t>生物与医药硕士制药工程项目研究生</w:t>
      </w:r>
      <w:r>
        <w:rPr>
          <w:rFonts w:hint="eastAsia"/>
          <w:kern w:val="0"/>
          <w:szCs w:val="21"/>
        </w:rPr>
        <w:t>学位论文的选题应来源直接来源于药物生产实际或具有明确的生产背景和应用价值，可以是制药工程项目策划，工程设计或技术改造，制药新工艺、新材料、新产品、新设备的研制与开发。论文选题应有一定的技术难度、先进性和工作量，能体现作者综合运用科学理论、方法和技术手段解决工程实际问题的能力。研究生需在充分阅读文献的基础上写出开题报告，经导师审核后方可进入研究阶段。选题后需做开题报告，经由3</w:t>
      </w:r>
      <w:r>
        <w:rPr>
          <w:kern w:val="0"/>
          <w:szCs w:val="21"/>
        </w:rPr>
        <w:t>-5</w:t>
      </w:r>
      <w:r>
        <w:rPr>
          <w:rFonts w:hint="eastAsia"/>
          <w:kern w:val="0"/>
          <w:szCs w:val="21"/>
        </w:rPr>
        <w:t>人组成的专家小组审议通过后，方可进行论文工作。</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kern w:val="0"/>
          <w:szCs w:val="21"/>
        </w:rPr>
      </w:pPr>
      <w:r>
        <w:rPr>
          <w:rFonts w:hint="eastAsia"/>
          <w:kern w:val="0"/>
          <w:szCs w:val="21"/>
        </w:rPr>
        <w:t>2．研究生课程学习结束后，需填写《西安交通大学研究生中期考核表》，由培养单位进行中期考核。中期考核内容主要包括思想品德、课程学习、论文工作的进展情况和取得的成果,下一阶段的论文工作安排,对论文技术难点及工作成果的评价等。中期考核主要是对研究生完成的论文工作进展情况进行检查和评议，综合考察研究工作的成果。研究生中期考核的评审专家小组应由至少</w:t>
      </w:r>
      <w:r>
        <w:rPr>
          <w:kern w:val="0"/>
          <w:szCs w:val="21"/>
        </w:rPr>
        <w:t>3</w:t>
      </w:r>
      <w:r>
        <w:rPr>
          <w:rFonts w:hint="eastAsia"/>
          <w:kern w:val="0"/>
          <w:szCs w:val="21"/>
        </w:rPr>
        <w:t>名副高职称以上（含副高）专家组成（至少1人为校外专家），考核不合格者将被确定为质量跟踪对象。学院在第三学期末和第四学期末均安排中期考核，第三学期末通过考核的研究生可以在第四学期申请毕业。</w:t>
      </w:r>
    </w:p>
    <w:p>
      <w:pPr>
        <w:keepNext w:val="0"/>
        <w:keepLines w:val="0"/>
        <w:pageBreakBefore w:val="0"/>
        <w:widowControl w:val="0"/>
        <w:kinsoku/>
        <w:wordWrap/>
        <w:overflowPunct/>
        <w:topLinePunct w:val="0"/>
        <w:autoSpaceDE/>
        <w:autoSpaceDN/>
        <w:bidi w:val="0"/>
        <w:spacing w:line="300" w:lineRule="auto"/>
        <w:ind w:firstLine="420" w:firstLineChars="200"/>
        <w:contextualSpacing/>
        <w:textAlignment w:val="auto"/>
        <w:rPr>
          <w:bCs/>
          <w:szCs w:val="21"/>
        </w:rPr>
      </w:pPr>
      <w:r>
        <w:rPr>
          <w:rFonts w:hint="eastAsia"/>
          <w:kern w:val="0"/>
          <w:szCs w:val="21"/>
        </w:rPr>
        <w:t>3. 研究生的开题报告和中期报告中应包含实验安全风险评估的内容。</w:t>
      </w:r>
    </w:p>
    <w:p>
      <w:pPr>
        <w:keepNext w:val="0"/>
        <w:keepLines w:val="0"/>
        <w:pageBreakBefore w:val="0"/>
        <w:widowControl w:val="0"/>
        <w:tabs>
          <w:tab w:val="left" w:pos="2940"/>
        </w:tabs>
        <w:kinsoku/>
        <w:wordWrap/>
        <w:overflowPunct/>
        <w:topLinePunct w:val="0"/>
        <w:autoSpaceDE/>
        <w:autoSpaceDN/>
        <w:bidi w:val="0"/>
        <w:adjustRightInd w:val="0"/>
        <w:snapToGrid w:val="0"/>
        <w:spacing w:line="300" w:lineRule="auto"/>
        <w:textAlignment w:val="auto"/>
        <w:rPr>
          <w:rFonts w:hint="eastAsia"/>
          <w:b/>
          <w:bCs/>
          <w:szCs w:val="21"/>
        </w:rPr>
      </w:pPr>
      <w:r>
        <w:rPr>
          <w:rFonts w:hint="eastAsia"/>
          <w:b/>
          <w:bCs/>
          <w:szCs w:val="21"/>
        </w:rPr>
        <w:t>七、体育、美育、劳动教育</w:t>
      </w:r>
    </w:p>
    <w:p>
      <w:pPr>
        <w:pStyle w:val="11"/>
        <w:keepNext w:val="0"/>
        <w:keepLines w:val="0"/>
        <w:pageBreakBefore w:val="0"/>
        <w:widowControl w:val="0"/>
        <w:kinsoku/>
        <w:wordWrap/>
        <w:overflowPunct/>
        <w:topLinePunct w:val="0"/>
        <w:autoSpaceDE/>
        <w:autoSpaceDN/>
        <w:bidi w:val="0"/>
        <w:spacing w:line="300" w:lineRule="auto"/>
        <w:textAlignment w:val="auto"/>
        <w:rPr>
          <w:rFonts w:hint="eastAsia"/>
          <w:sz w:val="21"/>
          <w:szCs w:val="21"/>
        </w:rPr>
      </w:pPr>
      <w:r>
        <w:rPr>
          <w:rFonts w:hint="eastAsia"/>
          <w:sz w:val="21"/>
          <w:szCs w:val="21"/>
        </w:rPr>
        <w:t>研究生依据当年的体育、美育、劳动教育研修指南，结合个人兴趣爱好和培养计划安排，制定个人体育、美育、劳动教育环节研修计划并开展研修，由体育、美育、劳动教育牵头单位对环节是否“通过”给予认定。</w:t>
      </w:r>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宋体" w:eastAsia="黑体"/>
          <w:sz w:val="24"/>
        </w:rPr>
      </w:pPr>
      <w:r>
        <w:rPr>
          <w:rFonts w:hint="eastAsia" w:ascii="黑体" w:hAnsi="宋体" w:eastAsia="黑体"/>
          <w:sz w:val="24"/>
        </w:rPr>
        <w:t>八、学位论文</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kern w:val="0"/>
          <w:szCs w:val="21"/>
        </w:rPr>
      </w:pPr>
      <w:r>
        <w:rPr>
          <w:rFonts w:hint="eastAsia"/>
          <w:kern w:val="0"/>
          <w:szCs w:val="21"/>
        </w:rPr>
        <w:t>1．</w:t>
      </w:r>
      <w:r>
        <w:rPr>
          <w:rFonts w:hint="eastAsia"/>
          <w:szCs w:val="21"/>
        </w:rPr>
        <w:t>生物与医药硕士制药工程项目研究生</w:t>
      </w:r>
      <w:r>
        <w:rPr>
          <w:rFonts w:hint="eastAsia"/>
          <w:kern w:val="0"/>
          <w:szCs w:val="21"/>
        </w:rPr>
        <w:t xml:space="preserve">专业学位论文必须在导师的指导下由研究生本人独立完成。学位论文要求能综合运用基础理论、科学方法、专业知识和技术手段对生物与医药工程实际问题进行分析研究，并能在某方面提出独立见解；论文写作要求概念清晰、结构合理、层次分明、文理通顺，版式规范。 </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kern w:val="0"/>
          <w:szCs w:val="21"/>
        </w:rPr>
      </w:pPr>
      <w:r>
        <w:rPr>
          <w:rFonts w:hint="eastAsia"/>
          <w:kern w:val="0"/>
          <w:szCs w:val="21"/>
        </w:rPr>
        <w:t>2．</w:t>
      </w:r>
      <w:r>
        <w:rPr>
          <w:kern w:val="0"/>
          <w:szCs w:val="21"/>
        </w:rPr>
        <w:t>学位论文选题应直接来源于</w:t>
      </w:r>
      <w:r>
        <w:rPr>
          <w:rFonts w:hint="eastAsia"/>
          <w:kern w:val="0"/>
          <w:szCs w:val="21"/>
        </w:rPr>
        <w:t>相关合作</w:t>
      </w:r>
      <w:r>
        <w:rPr>
          <w:kern w:val="0"/>
          <w:szCs w:val="21"/>
        </w:rPr>
        <w:t>单位</w:t>
      </w:r>
      <w:r>
        <w:rPr>
          <w:rFonts w:hint="eastAsia"/>
          <w:kern w:val="0"/>
          <w:szCs w:val="21"/>
        </w:rPr>
        <w:t>的</w:t>
      </w:r>
      <w:r>
        <w:rPr>
          <w:kern w:val="0"/>
          <w:szCs w:val="21"/>
        </w:rPr>
        <w:t>生产实际或具有明确的</w:t>
      </w:r>
      <w:r>
        <w:rPr>
          <w:rFonts w:hint="eastAsia"/>
          <w:kern w:val="0"/>
          <w:szCs w:val="21"/>
        </w:rPr>
        <w:t>工程应用</w:t>
      </w:r>
      <w:r>
        <w:rPr>
          <w:kern w:val="0"/>
          <w:szCs w:val="21"/>
        </w:rPr>
        <w:t>背景</w:t>
      </w:r>
      <w:r>
        <w:rPr>
          <w:rFonts w:hint="eastAsia"/>
          <w:kern w:val="0"/>
          <w:szCs w:val="21"/>
        </w:rPr>
        <w:t>，</w:t>
      </w:r>
      <w:r>
        <w:rPr>
          <w:kern w:val="0"/>
          <w:szCs w:val="21"/>
        </w:rPr>
        <w:t>研究成果要有实际应用价值，论文拟解决的问题要有一定的技术难度和工作量，论文要具有一定的先进性和实用性。</w:t>
      </w:r>
      <w:r>
        <w:rPr>
          <w:rFonts w:hint="eastAsia"/>
          <w:kern w:val="0"/>
          <w:szCs w:val="21"/>
        </w:rPr>
        <w:t>要把完成</w:t>
      </w:r>
      <w:r>
        <w:rPr>
          <w:kern w:val="0"/>
          <w:szCs w:val="21"/>
        </w:rPr>
        <w:t>学位论文</w:t>
      </w:r>
      <w:r>
        <w:rPr>
          <w:rFonts w:hint="eastAsia"/>
          <w:kern w:val="0"/>
          <w:szCs w:val="21"/>
        </w:rPr>
        <w:t>和专业实践有机结合起来。</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kern w:val="0"/>
          <w:szCs w:val="21"/>
        </w:rPr>
      </w:pPr>
      <w:r>
        <w:rPr>
          <w:rFonts w:hint="eastAsia"/>
          <w:kern w:val="0"/>
          <w:szCs w:val="21"/>
        </w:rPr>
        <w:t>3．研究生在论文研究阶段需进行中期考核。</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kern w:val="0"/>
          <w:szCs w:val="21"/>
        </w:rPr>
      </w:pPr>
      <w:r>
        <w:rPr>
          <w:rFonts w:hint="eastAsia"/>
          <w:kern w:val="0"/>
          <w:szCs w:val="21"/>
        </w:rPr>
        <w:t>4．</w:t>
      </w:r>
      <w:r>
        <w:rPr>
          <w:kern w:val="0"/>
          <w:szCs w:val="21"/>
        </w:rPr>
        <w:t>学位论文</w:t>
      </w:r>
      <w:r>
        <w:rPr>
          <w:rFonts w:hint="eastAsia"/>
          <w:kern w:val="0"/>
          <w:szCs w:val="21"/>
        </w:rPr>
        <w:t>字数要求达到3万字左右。</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kern w:val="0"/>
          <w:szCs w:val="21"/>
        </w:rPr>
      </w:pPr>
      <w:r>
        <w:rPr>
          <w:rFonts w:hint="eastAsia"/>
          <w:kern w:val="0"/>
          <w:szCs w:val="21"/>
        </w:rPr>
        <w:t>5．研究生完成</w:t>
      </w:r>
      <w:r>
        <w:rPr>
          <w:kern w:val="0"/>
          <w:szCs w:val="21"/>
        </w:rPr>
        <w:t>学位论文</w:t>
      </w:r>
      <w:r>
        <w:rPr>
          <w:rFonts w:hint="eastAsia"/>
          <w:kern w:val="0"/>
          <w:szCs w:val="21"/>
        </w:rPr>
        <w:t>并</w:t>
      </w:r>
      <w:r>
        <w:rPr>
          <w:kern w:val="0"/>
          <w:szCs w:val="21"/>
        </w:rPr>
        <w:t>通过预答辩后，方可进入论文评阅</w:t>
      </w:r>
      <w:r>
        <w:rPr>
          <w:rFonts w:hint="eastAsia"/>
          <w:kern w:val="0"/>
          <w:szCs w:val="21"/>
        </w:rPr>
        <w:t>及正式</w:t>
      </w:r>
      <w:r>
        <w:rPr>
          <w:kern w:val="0"/>
          <w:szCs w:val="21"/>
        </w:rPr>
        <w:t>答辩。</w:t>
      </w:r>
      <w:r>
        <w:rPr>
          <w:rFonts w:hint="eastAsia"/>
          <w:kern w:val="0"/>
          <w:szCs w:val="21"/>
        </w:rPr>
        <w:t>论文一般需2位评阅人评阅，其中1位须是本行业知名专家，一般应具有我校校外导师资格，或具备校外导师相当条件。</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kern w:val="0"/>
          <w:szCs w:val="21"/>
        </w:rPr>
      </w:pPr>
      <w:r>
        <w:rPr>
          <w:rFonts w:hint="eastAsia"/>
          <w:kern w:val="0"/>
          <w:szCs w:val="21"/>
        </w:rPr>
        <w:t>6．</w:t>
      </w:r>
      <w:r>
        <w:rPr>
          <w:kern w:val="0"/>
          <w:szCs w:val="21"/>
        </w:rPr>
        <w:t>学位论文答辩由学院按有关规定统一组织。答辩委员会由3至5名具有副高以上专业技术职称（含副高）专家组成，</w:t>
      </w:r>
      <w:r>
        <w:rPr>
          <w:rFonts w:hint="eastAsia"/>
          <w:kern w:val="0"/>
          <w:szCs w:val="21"/>
        </w:rPr>
        <w:t>其中至少一名为企业/行业专家</w:t>
      </w:r>
      <w:r>
        <w:rPr>
          <w:kern w:val="0"/>
          <w:szCs w:val="21"/>
        </w:rPr>
        <w:t>。答辩委员会由</w:t>
      </w:r>
      <w:r>
        <w:rPr>
          <w:rFonts w:hint="eastAsia"/>
          <w:kern w:val="0"/>
          <w:szCs w:val="21"/>
        </w:rPr>
        <w:t>3</w:t>
      </w:r>
      <w:r>
        <w:rPr>
          <w:kern w:val="0"/>
          <w:szCs w:val="21"/>
        </w:rPr>
        <w:t>人组成时</w:t>
      </w:r>
      <w:r>
        <w:rPr>
          <w:rFonts w:hint="eastAsia"/>
          <w:kern w:val="0"/>
          <w:szCs w:val="21"/>
        </w:rPr>
        <w:t>，</w:t>
      </w:r>
      <w:r>
        <w:rPr>
          <w:kern w:val="0"/>
          <w:szCs w:val="21"/>
        </w:rPr>
        <w:t>其</w:t>
      </w:r>
      <w:r>
        <w:rPr>
          <w:rFonts w:hint="eastAsia"/>
          <w:kern w:val="0"/>
          <w:szCs w:val="21"/>
        </w:rPr>
        <w:t>校内外</w:t>
      </w:r>
      <w:r>
        <w:rPr>
          <w:kern w:val="0"/>
          <w:szCs w:val="21"/>
        </w:rPr>
        <w:t>指导教师</w:t>
      </w:r>
      <w:r>
        <w:rPr>
          <w:rFonts w:hint="eastAsia"/>
          <w:kern w:val="0"/>
          <w:szCs w:val="21"/>
        </w:rPr>
        <w:t>均</w:t>
      </w:r>
      <w:r>
        <w:rPr>
          <w:kern w:val="0"/>
          <w:szCs w:val="21"/>
        </w:rPr>
        <w:t>不担任答辩委员。</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kern w:val="0"/>
          <w:szCs w:val="21"/>
        </w:rPr>
      </w:pPr>
      <w:r>
        <w:rPr>
          <w:rFonts w:hint="eastAsia"/>
          <w:kern w:val="0"/>
          <w:szCs w:val="21"/>
        </w:rPr>
        <w:t>7．具体学位论文选题要求、形式、规范要求、水平要求及评价指标、学位申请条件、评阅及答辩要求等详见医学部学位评定分委员会公布的学位申请实施细则。</w:t>
      </w:r>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宋体" w:eastAsia="黑体"/>
          <w:sz w:val="24"/>
        </w:rPr>
      </w:pPr>
      <w:r>
        <w:rPr>
          <w:rFonts w:hint="eastAsia" w:ascii="黑体" w:hAnsi="宋体" w:eastAsia="黑体"/>
          <w:sz w:val="24"/>
        </w:rPr>
        <w:t>九、合作单位资助</w:t>
      </w:r>
    </w:p>
    <w:p>
      <w:pPr>
        <w:keepNext w:val="0"/>
        <w:keepLines w:val="0"/>
        <w:pageBreakBefore w:val="0"/>
        <w:widowControl w:val="0"/>
        <w:kinsoku/>
        <w:wordWrap/>
        <w:overflowPunct/>
        <w:topLinePunct w:val="0"/>
        <w:autoSpaceDE/>
        <w:autoSpaceDN/>
        <w:bidi w:val="0"/>
        <w:spacing w:line="300" w:lineRule="auto"/>
        <w:ind w:firstLine="420" w:firstLineChars="200"/>
        <w:contextualSpacing/>
        <w:textAlignment w:val="auto"/>
      </w:pPr>
      <w:r>
        <w:rPr>
          <w:rFonts w:hint="eastAsia"/>
        </w:rPr>
        <w:t>1．各合作单位为研究生的专业实践和论文工作配备校外导师，提供必要的科研与生活条件，发放生活补助，并购买意外人身伤害保险等。</w:t>
      </w:r>
    </w:p>
    <w:p>
      <w:pPr>
        <w:keepNext w:val="0"/>
        <w:keepLines w:val="0"/>
        <w:pageBreakBefore w:val="0"/>
        <w:widowControl w:val="0"/>
        <w:kinsoku/>
        <w:wordWrap/>
        <w:overflowPunct/>
        <w:topLinePunct w:val="0"/>
        <w:autoSpaceDE/>
        <w:autoSpaceDN/>
        <w:bidi w:val="0"/>
        <w:spacing w:line="300" w:lineRule="auto"/>
        <w:ind w:firstLine="420" w:firstLineChars="200"/>
        <w:contextualSpacing/>
        <w:textAlignment w:val="auto"/>
      </w:pPr>
      <w:r>
        <w:rPr>
          <w:rFonts w:hint="eastAsia"/>
        </w:rPr>
        <w:t>2．合作单位对研究生的实践补贴、奖学金以及科研经费资助等，可根据合作单位的实际情况，灵活处理。</w:t>
      </w:r>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宋体" w:eastAsia="黑体"/>
          <w:sz w:val="24"/>
        </w:rPr>
      </w:pPr>
      <w:r>
        <w:rPr>
          <w:rFonts w:hint="eastAsia" w:ascii="黑体" w:hAnsi="宋体" w:eastAsia="黑体"/>
          <w:sz w:val="24"/>
        </w:rPr>
        <w:t>十、实践成果归属</w:t>
      </w:r>
    </w:p>
    <w:p>
      <w:pPr>
        <w:keepNext w:val="0"/>
        <w:keepLines w:val="0"/>
        <w:pageBreakBefore w:val="0"/>
        <w:widowControl w:val="0"/>
        <w:kinsoku/>
        <w:wordWrap/>
        <w:overflowPunct/>
        <w:topLinePunct w:val="0"/>
        <w:autoSpaceDE/>
        <w:autoSpaceDN/>
        <w:bidi w:val="0"/>
        <w:spacing w:line="300" w:lineRule="auto"/>
        <w:ind w:firstLine="420" w:firstLineChars="200"/>
        <w:contextualSpacing/>
        <w:textAlignment w:val="auto"/>
      </w:pPr>
      <w:r>
        <w:rPr>
          <w:rFonts w:hint="eastAsia"/>
        </w:rPr>
        <w:t>1．围绕合作研究课题，双方导师、研究生取得的学术成果，其知识产权原则上由双方共享或协商确定，发表学术论文（著作）、申请专利、申报奖项等可实行双署名制，未经对方书面许可，任何一方不得向第三方转让。</w:t>
      </w:r>
    </w:p>
    <w:p>
      <w:pPr>
        <w:keepNext w:val="0"/>
        <w:keepLines w:val="0"/>
        <w:pageBreakBefore w:val="0"/>
        <w:widowControl w:val="0"/>
        <w:kinsoku/>
        <w:wordWrap/>
        <w:overflowPunct/>
        <w:topLinePunct w:val="0"/>
        <w:autoSpaceDE/>
        <w:autoSpaceDN/>
        <w:bidi w:val="0"/>
        <w:spacing w:line="300" w:lineRule="auto"/>
        <w:ind w:firstLine="420" w:firstLineChars="200"/>
        <w:contextualSpacing/>
        <w:textAlignment w:val="auto"/>
      </w:pPr>
      <w:r>
        <w:rPr>
          <w:rFonts w:hint="eastAsia"/>
        </w:rPr>
        <w:t>2．合作双方围绕具体课题成果的产业化仅在合作单位进行。</w:t>
      </w:r>
    </w:p>
    <w:p>
      <w:pPr>
        <w:keepNext w:val="0"/>
        <w:keepLines w:val="0"/>
        <w:pageBreakBefore w:val="0"/>
        <w:widowControl w:val="0"/>
        <w:kinsoku/>
        <w:wordWrap/>
        <w:overflowPunct/>
        <w:topLinePunct w:val="0"/>
        <w:autoSpaceDE/>
        <w:autoSpaceDN/>
        <w:bidi w:val="0"/>
        <w:spacing w:before="120" w:beforeLines="50" w:after="120" w:afterLines="50" w:line="300" w:lineRule="auto"/>
        <w:textAlignment w:val="auto"/>
        <w:rPr>
          <w:rFonts w:ascii="黑体" w:hAnsi="宋体" w:eastAsia="黑体"/>
          <w:sz w:val="24"/>
        </w:rPr>
      </w:pPr>
      <w:r>
        <w:rPr>
          <w:rFonts w:hint="eastAsia" w:ascii="黑体" w:hAnsi="宋体" w:eastAsia="黑体"/>
          <w:sz w:val="24"/>
        </w:rPr>
        <w:t>十一、学位授予与毕业条件</w:t>
      </w:r>
    </w:p>
    <w:p>
      <w:pPr>
        <w:keepNext w:val="0"/>
        <w:keepLines w:val="0"/>
        <w:pageBreakBefore w:val="0"/>
        <w:widowControl w:val="0"/>
        <w:kinsoku/>
        <w:wordWrap/>
        <w:overflowPunct/>
        <w:topLinePunct w:val="0"/>
        <w:autoSpaceDE/>
        <w:autoSpaceDN/>
        <w:bidi w:val="0"/>
        <w:spacing w:line="300" w:lineRule="auto"/>
        <w:ind w:firstLine="420" w:firstLineChars="200"/>
        <w:contextualSpacing/>
        <w:textAlignment w:val="auto"/>
        <w:rPr>
          <w:rFonts w:ascii="宋体" w:hAnsi="Courier New"/>
          <w:szCs w:val="21"/>
        </w:rPr>
      </w:pPr>
      <w:r>
        <w:t>研究生按要求在规定的学习期限内完成</w:t>
      </w:r>
      <w:r>
        <w:rPr>
          <w:rFonts w:hint="eastAsia"/>
          <w:szCs w:val="21"/>
        </w:rPr>
        <w:t>生物与医药硕士制药工程项目</w:t>
      </w:r>
      <w:r>
        <w:t>培养计划且成绩合格，通过正式学位论文答辩，由</w:t>
      </w:r>
      <w:r>
        <w:rPr>
          <w:rFonts w:hint="eastAsia"/>
        </w:rPr>
        <w:t>医学部</w:t>
      </w:r>
      <w:r>
        <w:t>学位评定分委员会审核通过后，校学位评定委员会批准授予</w:t>
      </w:r>
      <w:r>
        <w:rPr>
          <w:rFonts w:hint="eastAsia"/>
          <w:szCs w:val="21"/>
        </w:rPr>
        <w:t>生物与医药硕士</w:t>
      </w:r>
      <w:r>
        <w:t xml:space="preserve">学位。具体程序参见学校相关文件。 </w:t>
      </w:r>
    </w:p>
    <w:p>
      <w:pPr>
        <w:keepNext/>
        <w:keepLines/>
        <w:spacing w:before="340" w:after="340" w:line="286" w:lineRule="auto"/>
        <w:jc w:val="center"/>
        <w:outlineLvl w:val="1"/>
        <w:rPr>
          <w:rFonts w:hAnsi="Arial" w:eastAsia="黑体"/>
          <w:bCs/>
          <w:sz w:val="28"/>
          <w:szCs w:val="28"/>
        </w:rPr>
      </w:pPr>
      <w:bookmarkStart w:id="589" w:name="_Toc110427528"/>
      <w:r>
        <w:rPr>
          <w:rFonts w:hAnsi="Arial" w:eastAsia="黑体"/>
          <w:bCs/>
          <w:sz w:val="28"/>
          <w:szCs w:val="28"/>
        </w:rPr>
        <w:t>（</w:t>
      </w:r>
      <w:r>
        <w:rPr>
          <w:rFonts w:hint="eastAsia" w:hAnsi="Arial" w:eastAsia="黑体"/>
          <w:bCs/>
          <w:sz w:val="28"/>
          <w:szCs w:val="28"/>
        </w:rPr>
        <w:t>十二</w:t>
      </w:r>
      <w:r>
        <w:rPr>
          <w:rFonts w:hAnsi="Arial" w:eastAsia="黑体"/>
          <w:bCs/>
          <w:sz w:val="28"/>
          <w:szCs w:val="28"/>
        </w:rPr>
        <w:t>）</w:t>
      </w:r>
      <w:r>
        <w:rPr>
          <w:rFonts w:hint="eastAsia" w:hAnsi="Arial" w:eastAsia="黑体"/>
          <w:bCs/>
          <w:sz w:val="28"/>
          <w:szCs w:val="28"/>
        </w:rPr>
        <w:t>非全日制公共卫生硕士（1053）</w:t>
      </w:r>
      <w:r>
        <w:rPr>
          <w:rFonts w:hAnsi="Arial" w:eastAsia="黑体"/>
          <w:bCs/>
          <w:sz w:val="28"/>
          <w:szCs w:val="28"/>
        </w:rPr>
        <w:t>培养方案</w:t>
      </w:r>
      <w:bookmarkEnd w:id="589"/>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auto"/>
        <w:textAlignment w:val="auto"/>
        <w:rPr>
          <w:rFonts w:ascii="黑体" w:hAnsi="黑体" w:eastAsia="黑体"/>
          <w:sz w:val="24"/>
          <w:szCs w:val="24"/>
        </w:rPr>
      </w:pPr>
      <w:r>
        <w:rPr>
          <w:rFonts w:hint="eastAsia" w:ascii="黑体" w:hAnsi="黑体" w:eastAsia="黑体"/>
          <w:sz w:val="24"/>
          <w:szCs w:val="24"/>
        </w:rPr>
        <w:t>一、培养目标</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1</w:t>
      </w:r>
      <w:r>
        <w:rPr>
          <w:rFonts w:hint="eastAsia"/>
          <w:szCs w:val="21"/>
        </w:rPr>
        <w:t>．热爱祖国，遵纪守法，品德良好，有献身于科学的强烈事业心和创新精神，积极为祖国医学事业发展贡献自己的才智。</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2</w:t>
      </w:r>
      <w:r>
        <w:rPr>
          <w:rFonts w:hint="eastAsia"/>
          <w:szCs w:val="21"/>
        </w:rPr>
        <w:t>．掌握本学科的基础理论和系统的专业知识，具备较强的公共卫生实际问题的分析和解决能力及较好的沟通能力，能够独立从事公共卫生科学研究工作和公共卫生实践。</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3</w:t>
      </w:r>
      <w:r>
        <w:rPr>
          <w:rFonts w:hint="eastAsia"/>
          <w:szCs w:val="21"/>
        </w:rPr>
        <w:t>．能熟练掌握一门外语，阅读本专业的外文书刊等。</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auto"/>
        <w:textAlignment w:val="auto"/>
        <w:rPr>
          <w:rFonts w:ascii="黑体" w:hAnsi="黑体" w:eastAsia="黑体"/>
          <w:sz w:val="24"/>
          <w:szCs w:val="24"/>
        </w:rPr>
      </w:pPr>
      <w:r>
        <w:rPr>
          <w:rFonts w:hint="eastAsia" w:ascii="黑体" w:hAnsi="黑体" w:eastAsia="黑体"/>
          <w:sz w:val="24"/>
          <w:szCs w:val="24"/>
        </w:rPr>
        <w:t>二、专业方向</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1</w:t>
      </w:r>
      <w:r>
        <w:rPr>
          <w:rFonts w:hint="eastAsia"/>
          <w:szCs w:val="21"/>
        </w:rPr>
        <w:t>．流行病与卫生统计学；</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2</w:t>
      </w:r>
      <w:r>
        <w:rPr>
          <w:rFonts w:hint="eastAsia"/>
          <w:szCs w:val="21"/>
        </w:rPr>
        <w:t>．劳动卫生与环境卫生学；</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3</w:t>
      </w:r>
      <w:r>
        <w:rPr>
          <w:rFonts w:hint="eastAsia"/>
          <w:szCs w:val="21"/>
        </w:rPr>
        <w:t>．营养与食品卫生学；</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4</w:t>
      </w:r>
      <w:r>
        <w:rPr>
          <w:rFonts w:hint="eastAsia"/>
          <w:szCs w:val="21"/>
        </w:rPr>
        <w:t>．儿少卫生与妇幼保健学；</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5</w:t>
      </w:r>
      <w:r>
        <w:rPr>
          <w:rFonts w:hint="eastAsia"/>
          <w:szCs w:val="21"/>
        </w:rPr>
        <w:t>．卫生毒理学；</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rFonts w:hint="eastAsia"/>
          <w:szCs w:val="21"/>
        </w:rPr>
        <w:t>6．社会医学与卫生事业管理；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rFonts w:hint="eastAsia"/>
          <w:szCs w:val="21"/>
        </w:rPr>
        <w:t>7．卫生检验；</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rFonts w:hint="eastAsia"/>
          <w:szCs w:val="21"/>
        </w:rPr>
        <w:t>8．健康教育与健康促进。</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auto"/>
        <w:textAlignment w:val="auto"/>
        <w:rPr>
          <w:rFonts w:ascii="黑体" w:hAnsi="黑体" w:eastAsia="黑体"/>
          <w:sz w:val="24"/>
          <w:szCs w:val="24"/>
        </w:rPr>
      </w:pPr>
      <w:r>
        <w:rPr>
          <w:rFonts w:hint="eastAsia" w:ascii="黑体" w:hAnsi="黑体" w:eastAsia="黑体"/>
          <w:sz w:val="24"/>
          <w:szCs w:val="24"/>
        </w:rPr>
        <w:t>三、学习年限</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rFonts w:hint="eastAsia"/>
          <w:szCs w:val="21"/>
        </w:rPr>
        <w:t>本学科硕士研究生在校学习年限为2-5年。第一学年学习专业基础理论，掌握进行科研所必需的基本技能并尽可能写出文献综述。第二、三学年学习查阅文献、进行社会实践，与导师共同商定具体研究课题，进行科学研究，并形成论文。</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auto"/>
        <w:textAlignment w:val="auto"/>
        <w:rPr>
          <w:rFonts w:ascii="黑体" w:hAnsi="黑体" w:eastAsia="黑体"/>
          <w:sz w:val="24"/>
          <w:szCs w:val="24"/>
        </w:rPr>
      </w:pPr>
      <w:r>
        <w:rPr>
          <w:rFonts w:hint="eastAsia" w:ascii="黑体" w:hAnsi="黑体" w:eastAsia="黑体"/>
          <w:sz w:val="24"/>
          <w:szCs w:val="24"/>
        </w:rPr>
        <w:t>四、培养方式</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1</w:t>
      </w:r>
      <w:r>
        <w:rPr>
          <w:rFonts w:hint="eastAsia"/>
          <w:szCs w:val="21"/>
        </w:rPr>
        <w:t>．实行导师指导和课题组集体培养相结合的方式。</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2</w:t>
      </w:r>
      <w:r>
        <w:rPr>
          <w:rFonts w:hint="eastAsia"/>
          <w:szCs w:val="21"/>
        </w:rPr>
        <w:t>．课程学习可采用上课、自学、辅导、讨论等方式。</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3</w:t>
      </w:r>
      <w:r>
        <w:rPr>
          <w:rFonts w:hint="eastAsia"/>
          <w:szCs w:val="21"/>
        </w:rPr>
        <w:t>．</w:t>
      </w:r>
      <w:r>
        <w:rPr>
          <w:rFonts w:hint="eastAsia" w:ascii="宋体" w:hAnsi="宋体" w:cs="宋体"/>
          <w:szCs w:val="21"/>
        </w:rPr>
        <w:t>导师应根据本培养方案和因材施教的原则</w:t>
      </w:r>
      <w:r>
        <w:rPr>
          <w:rFonts w:hint="eastAsia"/>
          <w:szCs w:val="21"/>
        </w:rPr>
        <w:t>，于硕士生入学后</w:t>
      </w:r>
      <w:r>
        <w:rPr>
          <w:szCs w:val="21"/>
        </w:rPr>
        <w:t>2</w:t>
      </w:r>
      <w:r>
        <w:rPr>
          <w:rFonts w:hint="eastAsia"/>
          <w:szCs w:val="21"/>
        </w:rPr>
        <w:t>个月内，制定出具体的培养计划。</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4</w:t>
      </w:r>
      <w:r>
        <w:rPr>
          <w:rFonts w:hint="eastAsia"/>
          <w:szCs w:val="21"/>
        </w:rPr>
        <w:t>．开题应注重培养硕士生的创新能力及科研能力，在导师的指导下，通过查阅文献、调查研究后由本人确定。开题报告必须有详细记录，记录填写在《西安交通大学研究生开题报告》中。</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5</w:t>
      </w:r>
      <w:r>
        <w:rPr>
          <w:rFonts w:hint="eastAsia"/>
          <w:szCs w:val="21"/>
        </w:rPr>
        <w:t>．硕士生应参加校、院组织的研讨会或其它学术活动。根据科研工作的需要，可适当安排硕士生外出参加有关学术活动。</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szCs w:val="21"/>
        </w:rPr>
      </w:pPr>
      <w:r>
        <w:rPr>
          <w:szCs w:val="21"/>
        </w:rPr>
        <w:t>6</w:t>
      </w:r>
      <w:r>
        <w:rPr>
          <w:rFonts w:hint="eastAsia"/>
          <w:szCs w:val="21"/>
        </w:rPr>
        <w:t>．硕士生应在第四学期结束前完成中期考核，考核不通过者，可以参加下学期的中期考核。</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contextualSpacing/>
        <w:textAlignment w:val="auto"/>
        <w:rPr>
          <w:szCs w:val="21"/>
        </w:rPr>
      </w:pPr>
      <w:r>
        <w:rPr>
          <w:rFonts w:hint="eastAsia"/>
          <w:szCs w:val="21"/>
        </w:rPr>
        <w:t xml:space="preserve">7. </w:t>
      </w:r>
      <w:r>
        <w:rPr>
          <w:rFonts w:hint="eastAsia"/>
          <w:kern w:val="0"/>
          <w:szCs w:val="21"/>
        </w:rPr>
        <w:t>研究生的开题报告和中期报告中应包含实验安全风险评估的内容。</w:t>
      </w:r>
    </w:p>
    <w:p>
      <w:pPr>
        <w:keepNext w:val="0"/>
        <w:keepLines w:val="0"/>
        <w:pageBreakBefore w:val="0"/>
        <w:widowControl w:val="0"/>
        <w:kinsoku/>
        <w:wordWrap/>
        <w:overflowPunct/>
        <w:topLinePunct w:val="0"/>
        <w:autoSpaceDE/>
        <w:autoSpaceDN/>
        <w:bidi w:val="0"/>
        <w:adjustRightInd/>
        <w:snapToGrid/>
        <w:spacing w:before="120" w:beforeLines="50" w:after="120" w:afterLines="50" w:line="300" w:lineRule="auto"/>
        <w:textAlignment w:val="auto"/>
        <w:rPr>
          <w:rFonts w:ascii="黑体" w:hAnsi="黑体" w:eastAsia="黑体"/>
          <w:sz w:val="24"/>
          <w:szCs w:val="24"/>
        </w:rPr>
      </w:pPr>
      <w:r>
        <w:rPr>
          <w:rFonts w:hint="eastAsia" w:ascii="黑体" w:hAnsi="黑体" w:eastAsia="黑体"/>
          <w:sz w:val="24"/>
          <w:szCs w:val="24"/>
        </w:rPr>
        <w:t>五、课程学习</w:t>
      </w:r>
    </w:p>
    <w:p>
      <w:pPr>
        <w:keepNext w:val="0"/>
        <w:keepLines w:val="0"/>
        <w:pageBreakBefore w:val="0"/>
        <w:widowControl w:val="0"/>
        <w:kinsoku/>
        <w:wordWrap/>
        <w:overflowPunct/>
        <w:topLinePunct w:val="0"/>
        <w:autoSpaceDE/>
        <w:autoSpaceDN/>
        <w:bidi w:val="0"/>
        <w:adjustRightInd/>
        <w:snapToGrid/>
        <w:spacing w:after="240" w:afterLines="100" w:line="300" w:lineRule="auto"/>
        <w:ind w:firstLine="420" w:firstLineChars="200"/>
        <w:textAlignment w:val="auto"/>
        <w:rPr>
          <w:szCs w:val="21"/>
        </w:rPr>
      </w:pPr>
      <w:r>
        <w:rPr>
          <w:rFonts w:hint="eastAsia"/>
          <w:szCs w:val="21"/>
        </w:rPr>
        <w:t>硕士研究生的学习实行学分制。本学科的硕士研究生在校期间至少修满31学分，其中校学位必修课程不少于</w:t>
      </w:r>
      <w:r>
        <w:rPr>
          <w:szCs w:val="21"/>
        </w:rPr>
        <w:t>5</w:t>
      </w:r>
      <w:r>
        <w:rPr>
          <w:rFonts w:hint="eastAsia"/>
          <w:szCs w:val="21"/>
        </w:rPr>
        <w:t>学分，学院公共学位课8学分，专业基础课5学分，专业必修课2学分，专业选修课不少于6学分。</w:t>
      </w:r>
      <w:r>
        <w:rPr>
          <w:rFonts w:hint="eastAsia"/>
          <w:bCs/>
        </w:rPr>
        <w:t>另外要求必修环节5学分，</w:t>
      </w:r>
      <w:r>
        <w:rPr>
          <w:rFonts w:hint="eastAsia"/>
          <w:szCs w:val="21"/>
        </w:rPr>
        <w:t>其中学术活动</w:t>
      </w:r>
      <w:r>
        <w:rPr>
          <w:szCs w:val="21"/>
        </w:rPr>
        <w:t>1</w:t>
      </w:r>
      <w:r>
        <w:rPr>
          <w:rFonts w:hint="eastAsia"/>
          <w:szCs w:val="21"/>
        </w:rPr>
        <w:t>学分，社会实践1学分，中期考核</w:t>
      </w:r>
      <w:r>
        <w:rPr>
          <w:szCs w:val="21"/>
        </w:rPr>
        <w:t>3</w:t>
      </w:r>
      <w:r>
        <w:rPr>
          <w:rFonts w:hint="eastAsia"/>
          <w:szCs w:val="21"/>
        </w:rPr>
        <w:t>学分。</w:t>
      </w:r>
    </w:p>
    <w:tbl>
      <w:tblPr>
        <w:tblStyle w:val="37"/>
        <w:tblW w:w="8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198"/>
        <w:gridCol w:w="1182"/>
        <w:gridCol w:w="1352"/>
        <w:gridCol w:w="2727"/>
        <w:gridCol w:w="477"/>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753" w:type="dxa"/>
            <w:vAlign w:val="center"/>
          </w:tcPr>
          <w:p>
            <w:pPr>
              <w:spacing w:line="300" w:lineRule="auto"/>
              <w:jc w:val="center"/>
              <w:rPr>
                <w:b/>
                <w:szCs w:val="21"/>
              </w:rPr>
            </w:pPr>
            <w:r>
              <w:rPr>
                <w:rFonts w:hint="eastAsia"/>
                <w:b/>
                <w:szCs w:val="21"/>
              </w:rPr>
              <w:t>课程类型</w:t>
            </w:r>
          </w:p>
        </w:tc>
        <w:tc>
          <w:tcPr>
            <w:tcW w:w="1198" w:type="dxa"/>
            <w:vAlign w:val="center"/>
          </w:tcPr>
          <w:p>
            <w:pPr>
              <w:spacing w:line="300" w:lineRule="auto"/>
              <w:jc w:val="center"/>
              <w:rPr>
                <w:b/>
                <w:szCs w:val="21"/>
              </w:rPr>
            </w:pPr>
            <w:r>
              <w:rPr>
                <w:rFonts w:hint="eastAsia"/>
                <w:b/>
                <w:szCs w:val="21"/>
              </w:rPr>
              <w:t>课程性质</w:t>
            </w:r>
          </w:p>
        </w:tc>
        <w:tc>
          <w:tcPr>
            <w:tcW w:w="1182" w:type="dxa"/>
            <w:vAlign w:val="center"/>
          </w:tcPr>
          <w:p>
            <w:pPr>
              <w:spacing w:line="300" w:lineRule="auto"/>
              <w:jc w:val="center"/>
              <w:rPr>
                <w:b/>
                <w:szCs w:val="21"/>
              </w:rPr>
            </w:pPr>
            <w:r>
              <w:rPr>
                <w:rFonts w:hint="eastAsia"/>
                <w:b/>
                <w:szCs w:val="21"/>
              </w:rPr>
              <w:t>课程编号</w:t>
            </w:r>
          </w:p>
        </w:tc>
        <w:tc>
          <w:tcPr>
            <w:tcW w:w="1352" w:type="dxa"/>
            <w:vAlign w:val="center"/>
          </w:tcPr>
          <w:p>
            <w:pPr>
              <w:spacing w:line="300" w:lineRule="auto"/>
              <w:jc w:val="center"/>
              <w:rPr>
                <w:b/>
                <w:szCs w:val="21"/>
              </w:rPr>
            </w:pPr>
            <w:r>
              <w:rPr>
                <w:rFonts w:hint="eastAsia"/>
                <w:b/>
                <w:szCs w:val="21"/>
              </w:rPr>
              <w:t>统一编码</w:t>
            </w:r>
          </w:p>
        </w:tc>
        <w:tc>
          <w:tcPr>
            <w:tcW w:w="2727" w:type="dxa"/>
            <w:vAlign w:val="center"/>
          </w:tcPr>
          <w:p>
            <w:pPr>
              <w:spacing w:line="300" w:lineRule="auto"/>
              <w:jc w:val="center"/>
              <w:rPr>
                <w:b/>
                <w:szCs w:val="21"/>
              </w:rPr>
            </w:pPr>
            <w:r>
              <w:rPr>
                <w:rFonts w:hint="eastAsia"/>
                <w:b/>
                <w:szCs w:val="21"/>
              </w:rPr>
              <w:t>课程名称</w:t>
            </w:r>
          </w:p>
        </w:tc>
        <w:tc>
          <w:tcPr>
            <w:tcW w:w="477" w:type="dxa"/>
            <w:vAlign w:val="center"/>
          </w:tcPr>
          <w:p>
            <w:pPr>
              <w:spacing w:line="300" w:lineRule="auto"/>
              <w:jc w:val="center"/>
              <w:rPr>
                <w:b/>
                <w:szCs w:val="21"/>
              </w:rPr>
            </w:pPr>
            <w:r>
              <w:rPr>
                <w:rFonts w:hint="eastAsia"/>
                <w:b/>
                <w:szCs w:val="21"/>
              </w:rPr>
              <w:t>学分</w:t>
            </w:r>
          </w:p>
        </w:tc>
        <w:tc>
          <w:tcPr>
            <w:tcW w:w="741" w:type="dxa"/>
            <w:vAlign w:val="center"/>
          </w:tcPr>
          <w:p>
            <w:pPr>
              <w:spacing w:line="300" w:lineRule="auto"/>
              <w:jc w:val="center"/>
              <w:rPr>
                <w:b/>
                <w:szCs w:val="21"/>
              </w:rPr>
            </w:pPr>
            <w:r>
              <w:rPr>
                <w:rFonts w:hint="eastAsia"/>
                <w:b/>
                <w:szCs w:val="21"/>
              </w:rPr>
              <w:t>应修学分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3" w:type="dxa"/>
            <w:vMerge w:val="restart"/>
            <w:vAlign w:val="center"/>
          </w:tcPr>
          <w:p>
            <w:pPr>
              <w:spacing w:line="300" w:lineRule="auto"/>
              <w:jc w:val="center"/>
              <w:rPr>
                <w:szCs w:val="21"/>
              </w:rPr>
            </w:pPr>
            <w:r>
              <w:rPr>
                <w:rFonts w:hint="eastAsia"/>
                <w:szCs w:val="21"/>
              </w:rPr>
              <w:t>学位课</w:t>
            </w:r>
          </w:p>
        </w:tc>
        <w:tc>
          <w:tcPr>
            <w:tcW w:w="1198" w:type="dxa"/>
            <w:vMerge w:val="restart"/>
            <w:vAlign w:val="center"/>
          </w:tcPr>
          <w:p>
            <w:pPr>
              <w:spacing w:line="300" w:lineRule="auto"/>
              <w:jc w:val="center"/>
              <w:rPr>
                <w:szCs w:val="21"/>
              </w:rPr>
            </w:pPr>
            <w:r>
              <w:rPr>
                <w:rFonts w:hint="eastAsia"/>
                <w:szCs w:val="21"/>
              </w:rPr>
              <w:t>校公共</w:t>
            </w:r>
          </w:p>
          <w:p>
            <w:pPr>
              <w:spacing w:line="300" w:lineRule="auto"/>
              <w:jc w:val="center"/>
              <w:rPr>
                <w:szCs w:val="21"/>
              </w:rPr>
            </w:pPr>
            <w:r>
              <w:rPr>
                <w:rFonts w:hint="eastAsia"/>
                <w:szCs w:val="21"/>
              </w:rPr>
              <w:t>学位课</w:t>
            </w:r>
          </w:p>
        </w:tc>
        <w:tc>
          <w:tcPr>
            <w:tcW w:w="1182" w:type="dxa"/>
            <w:vAlign w:val="center"/>
          </w:tcPr>
          <w:p>
            <w:pPr>
              <w:spacing w:line="300" w:lineRule="auto"/>
              <w:jc w:val="center"/>
              <w:rPr>
                <w:rFonts w:ascii="宋体" w:hAnsi="宋体"/>
                <w:szCs w:val="21"/>
              </w:rPr>
            </w:pPr>
            <w:r>
              <w:rPr>
                <w:rFonts w:hint="eastAsia" w:ascii="宋体" w:hAnsi="宋体"/>
                <w:szCs w:val="21"/>
              </w:rPr>
              <w:t>141003</w:t>
            </w:r>
          </w:p>
        </w:tc>
        <w:tc>
          <w:tcPr>
            <w:tcW w:w="1352" w:type="dxa"/>
            <w:vAlign w:val="center"/>
          </w:tcPr>
          <w:p>
            <w:pPr>
              <w:spacing w:line="300" w:lineRule="auto"/>
              <w:jc w:val="center"/>
              <w:rPr>
                <w:rFonts w:ascii="宋体" w:hAnsi="宋体"/>
                <w:szCs w:val="21"/>
              </w:rPr>
            </w:pPr>
            <w:r>
              <w:rPr>
                <w:rFonts w:ascii="宋体" w:hAnsi="宋体"/>
                <w:szCs w:val="21"/>
              </w:rPr>
              <w:t>MLMD6003</w:t>
            </w:r>
            <w:r>
              <w:rPr>
                <w:rFonts w:hint="eastAsia" w:ascii="宋体" w:hAnsi="宋体"/>
                <w:szCs w:val="21"/>
              </w:rPr>
              <w:t>14</w:t>
            </w:r>
          </w:p>
        </w:tc>
        <w:tc>
          <w:tcPr>
            <w:tcW w:w="2727" w:type="dxa"/>
            <w:vAlign w:val="center"/>
          </w:tcPr>
          <w:p>
            <w:pPr>
              <w:spacing w:line="300" w:lineRule="auto"/>
              <w:rPr>
                <w:szCs w:val="21"/>
              </w:rPr>
            </w:pPr>
            <w:r>
              <w:rPr>
                <w:rFonts w:hint="eastAsia"/>
                <w:szCs w:val="21"/>
              </w:rPr>
              <w:t>新时代中国特色社会主义理论与实践</w:t>
            </w:r>
          </w:p>
        </w:tc>
        <w:tc>
          <w:tcPr>
            <w:tcW w:w="477" w:type="dxa"/>
            <w:vAlign w:val="center"/>
          </w:tcPr>
          <w:p>
            <w:pPr>
              <w:spacing w:line="300" w:lineRule="auto"/>
              <w:jc w:val="center"/>
              <w:rPr>
                <w:szCs w:val="21"/>
              </w:rPr>
            </w:pPr>
            <w:r>
              <w:rPr>
                <w:szCs w:val="21"/>
              </w:rPr>
              <w:t>2</w:t>
            </w:r>
          </w:p>
        </w:tc>
        <w:tc>
          <w:tcPr>
            <w:tcW w:w="741" w:type="dxa"/>
            <w:vMerge w:val="restart"/>
            <w:vAlign w:val="center"/>
          </w:tcPr>
          <w:p>
            <w:pPr>
              <w:spacing w:line="300" w:lineRule="auto"/>
              <w:jc w:val="center"/>
              <w:rPr>
                <w:szCs w:val="21"/>
              </w:rPr>
            </w:pPr>
            <w:r>
              <w:rPr>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3" w:type="dxa"/>
            <w:vMerge w:val="continue"/>
            <w:vAlign w:val="center"/>
          </w:tcPr>
          <w:p>
            <w:pPr>
              <w:spacing w:line="300" w:lineRule="auto"/>
              <w:jc w:val="center"/>
              <w:rPr>
                <w:szCs w:val="21"/>
              </w:rPr>
            </w:pPr>
          </w:p>
        </w:tc>
        <w:tc>
          <w:tcPr>
            <w:tcW w:w="1198" w:type="dxa"/>
            <w:vMerge w:val="continue"/>
            <w:vAlign w:val="center"/>
          </w:tcPr>
          <w:p>
            <w:pPr>
              <w:spacing w:line="300" w:lineRule="auto"/>
              <w:jc w:val="center"/>
              <w:rPr>
                <w:szCs w:val="21"/>
              </w:rPr>
            </w:pPr>
          </w:p>
        </w:tc>
        <w:tc>
          <w:tcPr>
            <w:tcW w:w="1182" w:type="dxa"/>
            <w:vAlign w:val="center"/>
          </w:tcPr>
          <w:p>
            <w:pPr>
              <w:spacing w:line="300" w:lineRule="auto"/>
              <w:jc w:val="center"/>
              <w:rPr>
                <w:rFonts w:ascii="宋体" w:hAnsi="宋体"/>
                <w:szCs w:val="21"/>
              </w:rPr>
            </w:pPr>
            <w:r>
              <w:rPr>
                <w:rFonts w:hint="eastAsia" w:ascii="宋体" w:hAnsi="宋体"/>
                <w:szCs w:val="21"/>
              </w:rPr>
              <w:t>141005</w:t>
            </w:r>
          </w:p>
        </w:tc>
        <w:tc>
          <w:tcPr>
            <w:tcW w:w="1352" w:type="dxa"/>
            <w:vAlign w:val="center"/>
          </w:tcPr>
          <w:p>
            <w:pPr>
              <w:spacing w:line="300" w:lineRule="auto"/>
              <w:jc w:val="center"/>
              <w:rPr>
                <w:rFonts w:ascii="宋体" w:hAnsi="宋体"/>
                <w:szCs w:val="21"/>
              </w:rPr>
            </w:pPr>
            <w:r>
              <w:rPr>
                <w:rFonts w:ascii="宋体" w:hAnsi="宋体"/>
                <w:szCs w:val="21"/>
              </w:rPr>
              <w:t>PHLS6001</w:t>
            </w:r>
            <w:r>
              <w:rPr>
                <w:rFonts w:hint="eastAsia" w:ascii="宋体" w:hAnsi="宋体"/>
                <w:szCs w:val="21"/>
              </w:rPr>
              <w:t>14</w:t>
            </w:r>
          </w:p>
        </w:tc>
        <w:tc>
          <w:tcPr>
            <w:tcW w:w="2727" w:type="dxa"/>
            <w:vAlign w:val="center"/>
          </w:tcPr>
          <w:p>
            <w:pPr>
              <w:spacing w:line="300" w:lineRule="auto"/>
              <w:rPr>
                <w:szCs w:val="21"/>
              </w:rPr>
            </w:pPr>
            <w:r>
              <w:rPr>
                <w:rFonts w:hint="eastAsia"/>
                <w:szCs w:val="21"/>
              </w:rPr>
              <w:t>自然辩证法概论</w:t>
            </w:r>
          </w:p>
        </w:tc>
        <w:tc>
          <w:tcPr>
            <w:tcW w:w="477" w:type="dxa"/>
            <w:vAlign w:val="center"/>
          </w:tcPr>
          <w:p>
            <w:pPr>
              <w:spacing w:line="300" w:lineRule="auto"/>
              <w:jc w:val="center"/>
              <w:rPr>
                <w:szCs w:val="21"/>
              </w:rPr>
            </w:pPr>
            <w:r>
              <w:rPr>
                <w:szCs w:val="21"/>
              </w:rPr>
              <w:t>1</w:t>
            </w:r>
          </w:p>
        </w:tc>
        <w:tc>
          <w:tcPr>
            <w:tcW w:w="741" w:type="dxa"/>
            <w:vMerge w:val="continue"/>
            <w:vAlign w:val="center"/>
          </w:tcPr>
          <w:p>
            <w:pPr>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3" w:type="dxa"/>
            <w:vMerge w:val="continue"/>
            <w:vAlign w:val="center"/>
          </w:tcPr>
          <w:p>
            <w:pPr>
              <w:spacing w:line="300" w:lineRule="auto"/>
              <w:jc w:val="center"/>
              <w:rPr>
                <w:szCs w:val="21"/>
              </w:rPr>
            </w:pPr>
          </w:p>
        </w:tc>
        <w:tc>
          <w:tcPr>
            <w:tcW w:w="1198" w:type="dxa"/>
            <w:vMerge w:val="continue"/>
            <w:vAlign w:val="center"/>
          </w:tcPr>
          <w:p>
            <w:pPr>
              <w:spacing w:line="300" w:lineRule="auto"/>
              <w:jc w:val="center"/>
              <w:rPr>
                <w:szCs w:val="21"/>
              </w:rPr>
            </w:pPr>
          </w:p>
        </w:tc>
        <w:tc>
          <w:tcPr>
            <w:tcW w:w="1182" w:type="dxa"/>
            <w:vAlign w:val="center"/>
          </w:tcPr>
          <w:p>
            <w:pPr>
              <w:spacing w:line="300" w:lineRule="auto"/>
              <w:jc w:val="center"/>
              <w:rPr>
                <w:rFonts w:ascii="宋体" w:hAnsi="宋体"/>
                <w:szCs w:val="21"/>
              </w:rPr>
            </w:pPr>
            <w:r>
              <w:rPr>
                <w:rFonts w:hint="eastAsia" w:ascii="宋体" w:hAnsi="宋体"/>
                <w:szCs w:val="21"/>
              </w:rPr>
              <w:t>121068</w:t>
            </w:r>
          </w:p>
        </w:tc>
        <w:tc>
          <w:tcPr>
            <w:tcW w:w="1352" w:type="dxa"/>
            <w:vAlign w:val="center"/>
          </w:tcPr>
          <w:p>
            <w:pPr>
              <w:spacing w:line="300" w:lineRule="auto"/>
              <w:jc w:val="center"/>
              <w:rPr>
                <w:rFonts w:ascii="宋体" w:hAnsi="宋体"/>
                <w:szCs w:val="21"/>
              </w:rPr>
            </w:pPr>
            <w:r>
              <w:rPr>
                <w:rFonts w:hint="eastAsia" w:ascii="宋体" w:hAnsi="宋体"/>
                <w:szCs w:val="21"/>
              </w:rPr>
              <w:t>ENGL602212</w:t>
            </w:r>
          </w:p>
        </w:tc>
        <w:tc>
          <w:tcPr>
            <w:tcW w:w="2727" w:type="dxa"/>
            <w:vAlign w:val="center"/>
          </w:tcPr>
          <w:p>
            <w:pPr>
              <w:spacing w:line="300" w:lineRule="auto"/>
              <w:rPr>
                <w:szCs w:val="21"/>
                <w:lang w:val="zh-CN"/>
              </w:rPr>
            </w:pPr>
            <w:r>
              <w:rPr>
                <w:rFonts w:hint="eastAsia" w:ascii="Calibri" w:hAnsi="Calibri"/>
              </w:rPr>
              <w:t>医学英语</w:t>
            </w:r>
          </w:p>
        </w:tc>
        <w:tc>
          <w:tcPr>
            <w:tcW w:w="477" w:type="dxa"/>
            <w:vAlign w:val="center"/>
          </w:tcPr>
          <w:p>
            <w:pPr>
              <w:spacing w:line="300" w:lineRule="auto"/>
              <w:jc w:val="center"/>
              <w:rPr>
                <w:szCs w:val="21"/>
              </w:rPr>
            </w:pPr>
            <w:r>
              <w:rPr>
                <w:szCs w:val="21"/>
              </w:rPr>
              <w:t>2</w:t>
            </w:r>
          </w:p>
        </w:tc>
        <w:tc>
          <w:tcPr>
            <w:tcW w:w="741" w:type="dxa"/>
            <w:vMerge w:val="continue"/>
            <w:vAlign w:val="center"/>
          </w:tcPr>
          <w:p>
            <w:pPr>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3" w:type="dxa"/>
            <w:vMerge w:val="continue"/>
            <w:vAlign w:val="center"/>
          </w:tcPr>
          <w:p>
            <w:pPr>
              <w:spacing w:line="300" w:lineRule="auto"/>
              <w:jc w:val="center"/>
              <w:rPr>
                <w:szCs w:val="21"/>
              </w:rPr>
            </w:pPr>
          </w:p>
        </w:tc>
        <w:tc>
          <w:tcPr>
            <w:tcW w:w="1198" w:type="dxa"/>
            <w:vMerge w:val="restart"/>
            <w:vAlign w:val="center"/>
          </w:tcPr>
          <w:p>
            <w:pPr>
              <w:spacing w:line="300" w:lineRule="auto"/>
              <w:jc w:val="center"/>
              <w:rPr>
                <w:szCs w:val="21"/>
              </w:rPr>
            </w:pPr>
            <w:r>
              <w:rPr>
                <w:rFonts w:hint="eastAsia"/>
                <w:szCs w:val="21"/>
              </w:rPr>
              <w:t>院公共</w:t>
            </w:r>
          </w:p>
          <w:p>
            <w:pPr>
              <w:spacing w:line="300" w:lineRule="auto"/>
              <w:jc w:val="center"/>
              <w:rPr>
                <w:szCs w:val="21"/>
              </w:rPr>
            </w:pPr>
            <w:r>
              <w:rPr>
                <w:rFonts w:hint="eastAsia"/>
                <w:szCs w:val="21"/>
              </w:rPr>
              <w:t>学位课</w:t>
            </w:r>
          </w:p>
        </w:tc>
        <w:tc>
          <w:tcPr>
            <w:tcW w:w="1182" w:type="dxa"/>
            <w:vAlign w:val="center"/>
          </w:tcPr>
          <w:p>
            <w:pPr>
              <w:spacing w:line="300" w:lineRule="auto"/>
              <w:jc w:val="center"/>
              <w:rPr>
                <w:rFonts w:ascii="宋体" w:hAnsi="宋体"/>
                <w:szCs w:val="21"/>
              </w:rPr>
            </w:pPr>
            <w:r>
              <w:rPr>
                <w:rFonts w:hint="eastAsia" w:ascii="宋体" w:hAnsi="宋体"/>
                <w:szCs w:val="21"/>
              </w:rPr>
              <w:t>152194</w:t>
            </w:r>
          </w:p>
        </w:tc>
        <w:tc>
          <w:tcPr>
            <w:tcW w:w="1352" w:type="dxa"/>
            <w:vAlign w:val="center"/>
          </w:tcPr>
          <w:p>
            <w:pPr>
              <w:spacing w:line="300" w:lineRule="auto"/>
              <w:jc w:val="center"/>
              <w:rPr>
                <w:rFonts w:ascii="宋体" w:hAnsi="宋体"/>
                <w:szCs w:val="21"/>
              </w:rPr>
            </w:pPr>
            <w:r>
              <w:rPr>
                <w:rFonts w:hint="eastAsia" w:ascii="宋体" w:hAnsi="宋体"/>
                <w:szCs w:val="21"/>
              </w:rPr>
              <w:t>PUBH612015</w:t>
            </w:r>
          </w:p>
        </w:tc>
        <w:tc>
          <w:tcPr>
            <w:tcW w:w="2727" w:type="dxa"/>
            <w:vAlign w:val="center"/>
          </w:tcPr>
          <w:p>
            <w:pPr>
              <w:spacing w:line="300" w:lineRule="auto"/>
              <w:rPr>
                <w:szCs w:val="21"/>
              </w:rPr>
            </w:pPr>
            <w:r>
              <w:rPr>
                <w:rFonts w:hint="eastAsia"/>
                <w:szCs w:val="21"/>
              </w:rPr>
              <w:t>卫生统计学</w:t>
            </w:r>
          </w:p>
        </w:tc>
        <w:tc>
          <w:tcPr>
            <w:tcW w:w="477" w:type="dxa"/>
            <w:vAlign w:val="center"/>
          </w:tcPr>
          <w:p>
            <w:pPr>
              <w:spacing w:line="300" w:lineRule="auto"/>
              <w:jc w:val="center"/>
              <w:rPr>
                <w:szCs w:val="21"/>
              </w:rPr>
            </w:pPr>
            <w:r>
              <w:rPr>
                <w:rFonts w:hint="eastAsia"/>
                <w:szCs w:val="21"/>
              </w:rPr>
              <w:t>3</w:t>
            </w:r>
          </w:p>
        </w:tc>
        <w:tc>
          <w:tcPr>
            <w:tcW w:w="741" w:type="dxa"/>
            <w:vMerge w:val="restart"/>
            <w:vAlign w:val="center"/>
          </w:tcPr>
          <w:p>
            <w:pPr>
              <w:spacing w:line="300" w:lineRule="auto"/>
              <w:jc w:val="center"/>
              <w:rPr>
                <w:szCs w:val="21"/>
              </w:rPr>
            </w:pPr>
            <w:r>
              <w:rPr>
                <w:rFonts w:hint="eastAsia"/>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3" w:type="dxa"/>
            <w:vMerge w:val="continue"/>
            <w:vAlign w:val="center"/>
          </w:tcPr>
          <w:p>
            <w:pPr>
              <w:spacing w:line="300" w:lineRule="auto"/>
              <w:jc w:val="center"/>
              <w:rPr>
                <w:szCs w:val="21"/>
              </w:rPr>
            </w:pPr>
          </w:p>
        </w:tc>
        <w:tc>
          <w:tcPr>
            <w:tcW w:w="1198" w:type="dxa"/>
            <w:vMerge w:val="continue"/>
            <w:vAlign w:val="center"/>
          </w:tcPr>
          <w:p>
            <w:pPr>
              <w:spacing w:line="300" w:lineRule="auto"/>
              <w:jc w:val="center"/>
              <w:rPr>
                <w:szCs w:val="21"/>
              </w:rPr>
            </w:pPr>
          </w:p>
        </w:tc>
        <w:tc>
          <w:tcPr>
            <w:tcW w:w="1182" w:type="dxa"/>
            <w:vAlign w:val="center"/>
          </w:tcPr>
          <w:p>
            <w:pPr>
              <w:spacing w:line="300" w:lineRule="auto"/>
              <w:jc w:val="center"/>
              <w:rPr>
                <w:rFonts w:ascii="宋体" w:hAnsi="宋体"/>
                <w:szCs w:val="21"/>
              </w:rPr>
            </w:pPr>
            <w:r>
              <w:rPr>
                <w:rFonts w:hint="eastAsia" w:ascii="宋体" w:hAnsi="宋体"/>
                <w:szCs w:val="21"/>
              </w:rPr>
              <w:t>152191</w:t>
            </w:r>
          </w:p>
        </w:tc>
        <w:tc>
          <w:tcPr>
            <w:tcW w:w="1352" w:type="dxa"/>
            <w:vAlign w:val="center"/>
          </w:tcPr>
          <w:p>
            <w:pPr>
              <w:spacing w:line="300" w:lineRule="auto"/>
              <w:jc w:val="center"/>
              <w:rPr>
                <w:rFonts w:ascii="宋体" w:hAnsi="宋体"/>
                <w:szCs w:val="21"/>
              </w:rPr>
            </w:pPr>
            <w:r>
              <w:rPr>
                <w:rFonts w:hint="eastAsia" w:ascii="宋体" w:hAnsi="宋体"/>
                <w:szCs w:val="21"/>
              </w:rPr>
              <w:t>PUBH611915</w:t>
            </w:r>
          </w:p>
        </w:tc>
        <w:tc>
          <w:tcPr>
            <w:tcW w:w="2727" w:type="dxa"/>
            <w:vAlign w:val="center"/>
          </w:tcPr>
          <w:p>
            <w:pPr>
              <w:spacing w:line="300" w:lineRule="auto"/>
              <w:rPr>
                <w:szCs w:val="21"/>
              </w:rPr>
            </w:pPr>
            <w:r>
              <w:rPr>
                <w:rFonts w:hint="eastAsia"/>
                <w:szCs w:val="21"/>
              </w:rPr>
              <w:t>现代流行病学</w:t>
            </w:r>
          </w:p>
        </w:tc>
        <w:tc>
          <w:tcPr>
            <w:tcW w:w="477" w:type="dxa"/>
            <w:vAlign w:val="center"/>
          </w:tcPr>
          <w:p>
            <w:pPr>
              <w:spacing w:line="300" w:lineRule="auto"/>
              <w:jc w:val="center"/>
              <w:rPr>
                <w:szCs w:val="21"/>
              </w:rPr>
            </w:pPr>
            <w:r>
              <w:rPr>
                <w:rFonts w:hint="eastAsia"/>
                <w:szCs w:val="21"/>
              </w:rPr>
              <w:t>3</w:t>
            </w:r>
          </w:p>
        </w:tc>
        <w:tc>
          <w:tcPr>
            <w:tcW w:w="741" w:type="dxa"/>
            <w:vMerge w:val="continue"/>
            <w:vAlign w:val="center"/>
          </w:tcPr>
          <w:p>
            <w:pPr>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3" w:type="dxa"/>
            <w:vMerge w:val="continue"/>
            <w:vAlign w:val="center"/>
          </w:tcPr>
          <w:p>
            <w:pPr>
              <w:spacing w:line="300" w:lineRule="auto"/>
              <w:jc w:val="center"/>
              <w:rPr>
                <w:szCs w:val="21"/>
              </w:rPr>
            </w:pPr>
          </w:p>
        </w:tc>
        <w:tc>
          <w:tcPr>
            <w:tcW w:w="1198" w:type="dxa"/>
            <w:vMerge w:val="continue"/>
            <w:vAlign w:val="center"/>
          </w:tcPr>
          <w:p>
            <w:pPr>
              <w:spacing w:line="300" w:lineRule="auto"/>
              <w:jc w:val="center"/>
              <w:rPr>
                <w:szCs w:val="21"/>
              </w:rPr>
            </w:pPr>
          </w:p>
        </w:tc>
        <w:tc>
          <w:tcPr>
            <w:tcW w:w="1182" w:type="dxa"/>
            <w:vAlign w:val="center"/>
          </w:tcPr>
          <w:p>
            <w:pPr>
              <w:spacing w:line="300" w:lineRule="auto"/>
              <w:jc w:val="center"/>
              <w:rPr>
                <w:rFonts w:ascii="宋体" w:hAnsi="宋体"/>
                <w:szCs w:val="21"/>
              </w:rPr>
            </w:pPr>
            <w:r>
              <w:rPr>
                <w:rFonts w:hint="eastAsia" w:ascii="宋体" w:hAnsi="宋体"/>
                <w:szCs w:val="21"/>
              </w:rPr>
              <w:t>152075</w:t>
            </w:r>
          </w:p>
        </w:tc>
        <w:tc>
          <w:tcPr>
            <w:tcW w:w="1352" w:type="dxa"/>
            <w:vAlign w:val="center"/>
          </w:tcPr>
          <w:p>
            <w:pPr>
              <w:spacing w:line="300" w:lineRule="auto"/>
              <w:jc w:val="center"/>
              <w:rPr>
                <w:rFonts w:ascii="宋体" w:hAnsi="宋体"/>
                <w:szCs w:val="21"/>
              </w:rPr>
            </w:pPr>
            <w:r>
              <w:rPr>
                <w:rFonts w:ascii="宋体" w:hAnsi="宋体"/>
                <w:szCs w:val="21"/>
              </w:rPr>
              <w:t>BASM6117</w:t>
            </w:r>
            <w:r>
              <w:rPr>
                <w:rFonts w:hint="eastAsia" w:ascii="宋体" w:hAnsi="宋体"/>
                <w:szCs w:val="21"/>
              </w:rPr>
              <w:t>15</w:t>
            </w:r>
          </w:p>
        </w:tc>
        <w:tc>
          <w:tcPr>
            <w:tcW w:w="2727" w:type="dxa"/>
            <w:vAlign w:val="center"/>
          </w:tcPr>
          <w:p>
            <w:pPr>
              <w:spacing w:line="300" w:lineRule="auto"/>
              <w:rPr>
                <w:szCs w:val="21"/>
              </w:rPr>
            </w:pPr>
            <w:r>
              <w:rPr>
                <w:rFonts w:hint="eastAsia"/>
                <w:szCs w:val="21"/>
              </w:rPr>
              <w:t>医学科学研究导论</w:t>
            </w:r>
          </w:p>
        </w:tc>
        <w:tc>
          <w:tcPr>
            <w:tcW w:w="477" w:type="dxa"/>
            <w:vAlign w:val="center"/>
          </w:tcPr>
          <w:p>
            <w:pPr>
              <w:spacing w:line="300" w:lineRule="auto"/>
              <w:jc w:val="center"/>
              <w:rPr>
                <w:szCs w:val="21"/>
              </w:rPr>
            </w:pPr>
            <w:r>
              <w:rPr>
                <w:szCs w:val="21"/>
              </w:rPr>
              <w:t>2</w:t>
            </w:r>
          </w:p>
        </w:tc>
        <w:tc>
          <w:tcPr>
            <w:tcW w:w="741" w:type="dxa"/>
            <w:vMerge w:val="continue"/>
            <w:vAlign w:val="center"/>
          </w:tcPr>
          <w:p>
            <w:pPr>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3" w:type="dxa"/>
            <w:vMerge w:val="continue"/>
            <w:vAlign w:val="center"/>
          </w:tcPr>
          <w:p>
            <w:pPr>
              <w:spacing w:line="300" w:lineRule="auto"/>
              <w:jc w:val="center"/>
              <w:rPr>
                <w:szCs w:val="21"/>
              </w:rPr>
            </w:pPr>
          </w:p>
        </w:tc>
        <w:tc>
          <w:tcPr>
            <w:tcW w:w="1198" w:type="dxa"/>
            <w:vMerge w:val="restart"/>
            <w:vAlign w:val="center"/>
          </w:tcPr>
          <w:p>
            <w:pPr>
              <w:spacing w:line="300" w:lineRule="auto"/>
              <w:jc w:val="center"/>
              <w:rPr>
                <w:szCs w:val="21"/>
              </w:rPr>
            </w:pPr>
            <w:r>
              <w:rPr>
                <w:rFonts w:hint="eastAsia"/>
                <w:szCs w:val="21"/>
              </w:rPr>
              <w:t>专业</w:t>
            </w:r>
          </w:p>
          <w:p>
            <w:pPr>
              <w:spacing w:line="300" w:lineRule="auto"/>
              <w:jc w:val="center"/>
              <w:rPr>
                <w:szCs w:val="21"/>
              </w:rPr>
            </w:pPr>
            <w:r>
              <w:rPr>
                <w:rFonts w:hint="eastAsia"/>
                <w:szCs w:val="21"/>
              </w:rPr>
              <w:t>基础课</w:t>
            </w:r>
          </w:p>
        </w:tc>
        <w:tc>
          <w:tcPr>
            <w:tcW w:w="1182" w:type="dxa"/>
            <w:vAlign w:val="center"/>
          </w:tcPr>
          <w:p>
            <w:pPr>
              <w:spacing w:line="300" w:lineRule="auto"/>
              <w:jc w:val="center"/>
              <w:rPr>
                <w:rFonts w:ascii="宋体" w:hAnsi="宋体"/>
                <w:szCs w:val="21"/>
              </w:rPr>
            </w:pPr>
            <w:r>
              <w:rPr>
                <w:rFonts w:hint="eastAsia" w:ascii="宋体" w:hAnsi="宋体"/>
                <w:szCs w:val="21"/>
              </w:rPr>
              <w:t>152120</w:t>
            </w:r>
          </w:p>
        </w:tc>
        <w:tc>
          <w:tcPr>
            <w:tcW w:w="1352" w:type="dxa"/>
            <w:vAlign w:val="center"/>
          </w:tcPr>
          <w:p>
            <w:pPr>
              <w:spacing w:line="300" w:lineRule="auto"/>
              <w:jc w:val="center"/>
              <w:rPr>
                <w:rFonts w:ascii="宋体" w:hAnsi="宋体"/>
                <w:szCs w:val="21"/>
              </w:rPr>
            </w:pPr>
            <w:r>
              <w:rPr>
                <w:rFonts w:ascii="宋体" w:hAnsi="宋体"/>
                <w:szCs w:val="21"/>
              </w:rPr>
              <w:t>BASM6120</w:t>
            </w:r>
            <w:r>
              <w:rPr>
                <w:rFonts w:hint="eastAsia" w:ascii="宋体" w:hAnsi="宋体"/>
                <w:szCs w:val="21"/>
              </w:rPr>
              <w:t>15</w:t>
            </w:r>
          </w:p>
        </w:tc>
        <w:tc>
          <w:tcPr>
            <w:tcW w:w="2727" w:type="dxa"/>
            <w:vAlign w:val="center"/>
          </w:tcPr>
          <w:p>
            <w:pPr>
              <w:spacing w:line="300" w:lineRule="auto"/>
              <w:rPr>
                <w:szCs w:val="21"/>
              </w:rPr>
            </w:pPr>
            <w:r>
              <w:rPr>
                <w:rFonts w:hint="eastAsia"/>
                <w:szCs w:val="21"/>
              </w:rPr>
              <w:t>医用生物信息基础</w:t>
            </w:r>
          </w:p>
        </w:tc>
        <w:tc>
          <w:tcPr>
            <w:tcW w:w="477" w:type="dxa"/>
            <w:vAlign w:val="center"/>
          </w:tcPr>
          <w:p>
            <w:pPr>
              <w:spacing w:line="300" w:lineRule="auto"/>
              <w:jc w:val="center"/>
              <w:rPr>
                <w:szCs w:val="21"/>
              </w:rPr>
            </w:pPr>
            <w:r>
              <w:rPr>
                <w:szCs w:val="21"/>
              </w:rPr>
              <w:t>1</w:t>
            </w:r>
          </w:p>
        </w:tc>
        <w:tc>
          <w:tcPr>
            <w:tcW w:w="741" w:type="dxa"/>
            <w:vMerge w:val="restart"/>
            <w:vAlign w:val="center"/>
          </w:tcPr>
          <w:p>
            <w:pPr>
              <w:spacing w:line="300" w:lineRule="auto"/>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3" w:type="dxa"/>
            <w:vMerge w:val="continue"/>
            <w:vAlign w:val="center"/>
          </w:tcPr>
          <w:p>
            <w:pPr>
              <w:spacing w:line="300" w:lineRule="auto"/>
              <w:jc w:val="center"/>
              <w:rPr>
                <w:szCs w:val="21"/>
              </w:rPr>
            </w:pPr>
          </w:p>
        </w:tc>
        <w:tc>
          <w:tcPr>
            <w:tcW w:w="1198" w:type="dxa"/>
            <w:vMerge w:val="continue"/>
            <w:vAlign w:val="center"/>
          </w:tcPr>
          <w:p>
            <w:pPr>
              <w:spacing w:line="300" w:lineRule="auto"/>
              <w:jc w:val="center"/>
              <w:rPr>
                <w:szCs w:val="21"/>
              </w:rPr>
            </w:pPr>
          </w:p>
        </w:tc>
        <w:tc>
          <w:tcPr>
            <w:tcW w:w="1182" w:type="dxa"/>
            <w:vAlign w:val="center"/>
          </w:tcPr>
          <w:p>
            <w:pPr>
              <w:spacing w:line="300" w:lineRule="auto"/>
              <w:jc w:val="center"/>
              <w:rPr>
                <w:rFonts w:ascii="宋体" w:hAnsi="宋体"/>
                <w:szCs w:val="21"/>
              </w:rPr>
            </w:pPr>
            <w:r>
              <w:rPr>
                <w:rFonts w:hint="eastAsia" w:ascii="宋体" w:hAnsi="宋体"/>
                <w:szCs w:val="21"/>
              </w:rPr>
              <w:t>152049</w:t>
            </w:r>
          </w:p>
        </w:tc>
        <w:tc>
          <w:tcPr>
            <w:tcW w:w="1352" w:type="dxa"/>
            <w:vAlign w:val="center"/>
          </w:tcPr>
          <w:p>
            <w:pPr>
              <w:spacing w:line="300" w:lineRule="auto"/>
              <w:jc w:val="center"/>
              <w:rPr>
                <w:rFonts w:ascii="宋体" w:hAnsi="宋体"/>
                <w:szCs w:val="21"/>
              </w:rPr>
            </w:pPr>
            <w:r>
              <w:rPr>
                <w:rFonts w:ascii="宋体" w:hAnsi="宋体"/>
                <w:szCs w:val="21"/>
              </w:rPr>
              <w:t>PUBH6106</w:t>
            </w:r>
            <w:r>
              <w:rPr>
                <w:rFonts w:hint="eastAsia" w:ascii="宋体" w:hAnsi="宋体"/>
                <w:szCs w:val="21"/>
              </w:rPr>
              <w:t>15</w:t>
            </w:r>
          </w:p>
        </w:tc>
        <w:tc>
          <w:tcPr>
            <w:tcW w:w="2727" w:type="dxa"/>
            <w:vAlign w:val="center"/>
          </w:tcPr>
          <w:p>
            <w:pPr>
              <w:spacing w:line="300" w:lineRule="auto"/>
              <w:rPr>
                <w:szCs w:val="21"/>
              </w:rPr>
            </w:pPr>
            <w:r>
              <w:rPr>
                <w:rFonts w:hint="eastAsia"/>
                <w:szCs w:val="21"/>
              </w:rPr>
              <w:t>数据管理与分析</w:t>
            </w:r>
          </w:p>
        </w:tc>
        <w:tc>
          <w:tcPr>
            <w:tcW w:w="477" w:type="dxa"/>
            <w:vAlign w:val="center"/>
          </w:tcPr>
          <w:p>
            <w:pPr>
              <w:spacing w:line="300" w:lineRule="auto"/>
              <w:jc w:val="center"/>
              <w:rPr>
                <w:szCs w:val="21"/>
              </w:rPr>
            </w:pPr>
            <w:r>
              <w:rPr>
                <w:szCs w:val="21"/>
              </w:rPr>
              <w:t>2</w:t>
            </w:r>
          </w:p>
        </w:tc>
        <w:tc>
          <w:tcPr>
            <w:tcW w:w="741" w:type="dxa"/>
            <w:vMerge w:val="continue"/>
            <w:vAlign w:val="center"/>
          </w:tcPr>
          <w:p>
            <w:pPr>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3" w:type="dxa"/>
            <w:vMerge w:val="continue"/>
            <w:vAlign w:val="center"/>
          </w:tcPr>
          <w:p>
            <w:pPr>
              <w:spacing w:line="300" w:lineRule="auto"/>
              <w:jc w:val="center"/>
              <w:rPr>
                <w:szCs w:val="21"/>
              </w:rPr>
            </w:pPr>
          </w:p>
        </w:tc>
        <w:tc>
          <w:tcPr>
            <w:tcW w:w="1198" w:type="dxa"/>
            <w:vMerge w:val="continue"/>
            <w:vAlign w:val="center"/>
          </w:tcPr>
          <w:p>
            <w:pPr>
              <w:spacing w:line="300" w:lineRule="auto"/>
              <w:jc w:val="center"/>
              <w:rPr>
                <w:szCs w:val="21"/>
              </w:rPr>
            </w:pPr>
          </w:p>
        </w:tc>
        <w:tc>
          <w:tcPr>
            <w:tcW w:w="1182" w:type="dxa"/>
            <w:vAlign w:val="center"/>
          </w:tcPr>
          <w:p>
            <w:pPr>
              <w:spacing w:line="300" w:lineRule="auto"/>
              <w:jc w:val="center"/>
              <w:rPr>
                <w:rFonts w:ascii="宋体" w:hAnsi="宋体"/>
                <w:szCs w:val="21"/>
              </w:rPr>
            </w:pPr>
            <w:r>
              <w:rPr>
                <w:rFonts w:hint="eastAsia" w:ascii="宋体" w:hAnsi="宋体"/>
                <w:szCs w:val="21"/>
              </w:rPr>
              <w:t>152195</w:t>
            </w:r>
          </w:p>
        </w:tc>
        <w:tc>
          <w:tcPr>
            <w:tcW w:w="1352" w:type="dxa"/>
            <w:vAlign w:val="center"/>
          </w:tcPr>
          <w:p>
            <w:pPr>
              <w:spacing w:line="300" w:lineRule="auto"/>
              <w:jc w:val="center"/>
              <w:rPr>
                <w:rFonts w:ascii="宋体" w:hAnsi="宋体"/>
                <w:szCs w:val="21"/>
              </w:rPr>
            </w:pPr>
            <w:r>
              <w:rPr>
                <w:rFonts w:hint="eastAsia" w:ascii="宋体" w:hAnsi="宋体"/>
                <w:szCs w:val="21"/>
              </w:rPr>
              <w:t>PUBH612215</w:t>
            </w:r>
          </w:p>
        </w:tc>
        <w:tc>
          <w:tcPr>
            <w:tcW w:w="2727" w:type="dxa"/>
            <w:vAlign w:val="center"/>
          </w:tcPr>
          <w:p>
            <w:pPr>
              <w:spacing w:line="300" w:lineRule="auto"/>
              <w:rPr>
                <w:szCs w:val="21"/>
              </w:rPr>
            </w:pPr>
            <w:r>
              <w:rPr>
                <w:rFonts w:hint="eastAsia"/>
                <w:szCs w:val="21"/>
              </w:rPr>
              <w:t>公共卫生学研究理论与方法</w:t>
            </w:r>
          </w:p>
        </w:tc>
        <w:tc>
          <w:tcPr>
            <w:tcW w:w="477" w:type="dxa"/>
            <w:vAlign w:val="center"/>
          </w:tcPr>
          <w:p>
            <w:pPr>
              <w:spacing w:line="300" w:lineRule="auto"/>
              <w:jc w:val="center"/>
              <w:rPr>
                <w:szCs w:val="21"/>
              </w:rPr>
            </w:pPr>
            <w:r>
              <w:rPr>
                <w:rFonts w:hint="eastAsia"/>
                <w:szCs w:val="21"/>
              </w:rPr>
              <w:t>2</w:t>
            </w:r>
          </w:p>
        </w:tc>
        <w:tc>
          <w:tcPr>
            <w:tcW w:w="741" w:type="dxa"/>
            <w:vMerge w:val="continue"/>
            <w:vAlign w:val="center"/>
          </w:tcPr>
          <w:p>
            <w:pPr>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3" w:type="dxa"/>
            <w:vMerge w:val="continue"/>
            <w:vAlign w:val="center"/>
          </w:tcPr>
          <w:p>
            <w:pPr>
              <w:spacing w:line="300" w:lineRule="auto"/>
              <w:jc w:val="center"/>
              <w:rPr>
                <w:szCs w:val="21"/>
              </w:rPr>
            </w:pPr>
          </w:p>
        </w:tc>
        <w:tc>
          <w:tcPr>
            <w:tcW w:w="1198" w:type="dxa"/>
            <w:vMerge w:val="restart"/>
            <w:vAlign w:val="center"/>
          </w:tcPr>
          <w:p>
            <w:pPr>
              <w:spacing w:line="300" w:lineRule="auto"/>
              <w:jc w:val="center"/>
              <w:rPr>
                <w:szCs w:val="21"/>
              </w:rPr>
            </w:pPr>
            <w:r>
              <w:rPr>
                <w:rFonts w:hint="eastAsia"/>
                <w:szCs w:val="21"/>
              </w:rPr>
              <w:t>专业</w:t>
            </w:r>
          </w:p>
          <w:p>
            <w:pPr>
              <w:spacing w:line="300" w:lineRule="auto"/>
              <w:jc w:val="center"/>
              <w:rPr>
                <w:szCs w:val="21"/>
              </w:rPr>
            </w:pPr>
            <w:r>
              <w:rPr>
                <w:rFonts w:hint="eastAsia"/>
                <w:szCs w:val="21"/>
              </w:rPr>
              <w:t>必修课</w:t>
            </w:r>
          </w:p>
        </w:tc>
        <w:tc>
          <w:tcPr>
            <w:tcW w:w="1182" w:type="dxa"/>
            <w:vAlign w:val="center"/>
          </w:tcPr>
          <w:p>
            <w:pPr>
              <w:spacing w:line="300" w:lineRule="auto"/>
              <w:jc w:val="center"/>
              <w:rPr>
                <w:rFonts w:ascii="宋体" w:hAnsi="宋体"/>
                <w:szCs w:val="21"/>
              </w:rPr>
            </w:pPr>
            <w:r>
              <w:rPr>
                <w:rFonts w:hint="eastAsia" w:ascii="宋体" w:hAnsi="宋体"/>
                <w:szCs w:val="21"/>
              </w:rPr>
              <w:t>152096</w:t>
            </w:r>
          </w:p>
        </w:tc>
        <w:tc>
          <w:tcPr>
            <w:tcW w:w="1352" w:type="dxa"/>
            <w:vAlign w:val="center"/>
          </w:tcPr>
          <w:p>
            <w:pPr>
              <w:spacing w:line="300" w:lineRule="auto"/>
              <w:jc w:val="center"/>
              <w:rPr>
                <w:rFonts w:ascii="宋体" w:hAnsi="宋体"/>
                <w:szCs w:val="21"/>
              </w:rPr>
            </w:pPr>
            <w:r>
              <w:rPr>
                <w:rFonts w:ascii="宋体" w:hAnsi="宋体"/>
                <w:szCs w:val="21"/>
              </w:rPr>
              <w:t>PUBH7104</w:t>
            </w:r>
            <w:r>
              <w:rPr>
                <w:rFonts w:hint="eastAsia" w:ascii="宋体" w:hAnsi="宋体"/>
                <w:szCs w:val="21"/>
              </w:rPr>
              <w:t>15</w:t>
            </w:r>
          </w:p>
        </w:tc>
        <w:tc>
          <w:tcPr>
            <w:tcW w:w="2727" w:type="dxa"/>
            <w:vAlign w:val="center"/>
          </w:tcPr>
          <w:p>
            <w:pPr>
              <w:spacing w:line="300" w:lineRule="auto"/>
              <w:rPr>
                <w:szCs w:val="21"/>
              </w:rPr>
            </w:pPr>
            <w:r>
              <w:rPr>
                <w:rFonts w:hint="eastAsia"/>
                <w:szCs w:val="21"/>
              </w:rPr>
              <w:t>流行病与卫生统计学（</w:t>
            </w:r>
            <w:r>
              <w:rPr>
                <w:szCs w:val="21"/>
              </w:rPr>
              <w:t>2</w:t>
            </w:r>
            <w:r>
              <w:rPr>
                <w:rFonts w:hint="eastAsia"/>
                <w:szCs w:val="21"/>
              </w:rPr>
              <w:t>）</w:t>
            </w:r>
          </w:p>
        </w:tc>
        <w:tc>
          <w:tcPr>
            <w:tcW w:w="477" w:type="dxa"/>
            <w:vAlign w:val="center"/>
          </w:tcPr>
          <w:p>
            <w:pPr>
              <w:spacing w:line="300" w:lineRule="auto"/>
              <w:jc w:val="center"/>
              <w:rPr>
                <w:szCs w:val="21"/>
              </w:rPr>
            </w:pPr>
            <w:r>
              <w:rPr>
                <w:szCs w:val="21"/>
              </w:rPr>
              <w:t>2</w:t>
            </w:r>
          </w:p>
        </w:tc>
        <w:tc>
          <w:tcPr>
            <w:tcW w:w="741" w:type="dxa"/>
            <w:vMerge w:val="restart"/>
            <w:vAlign w:val="center"/>
          </w:tcPr>
          <w:p>
            <w:pPr>
              <w:spacing w:line="300" w:lineRule="auto"/>
              <w:jc w:val="center"/>
              <w:rPr>
                <w:szCs w:val="21"/>
              </w:rPr>
            </w:pPr>
            <w:r>
              <w:rPr>
                <w:rFonts w:hint="eastAsia"/>
                <w:szCs w:val="21"/>
              </w:rPr>
              <w:t>根据学生的专业选修</w:t>
            </w:r>
            <w:r>
              <w:rPr>
                <w:szCs w:val="21"/>
              </w:rPr>
              <w:t>2</w:t>
            </w:r>
            <w:r>
              <w:rPr>
                <w:rFonts w:hint="eastAsia"/>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3" w:type="dxa"/>
            <w:vMerge w:val="continue"/>
            <w:vAlign w:val="center"/>
          </w:tcPr>
          <w:p>
            <w:pPr>
              <w:spacing w:line="300" w:lineRule="auto"/>
              <w:jc w:val="center"/>
              <w:rPr>
                <w:szCs w:val="21"/>
              </w:rPr>
            </w:pPr>
          </w:p>
        </w:tc>
        <w:tc>
          <w:tcPr>
            <w:tcW w:w="1198" w:type="dxa"/>
            <w:vMerge w:val="continue"/>
            <w:vAlign w:val="center"/>
          </w:tcPr>
          <w:p>
            <w:pPr>
              <w:spacing w:line="300" w:lineRule="auto"/>
              <w:jc w:val="center"/>
              <w:rPr>
                <w:szCs w:val="21"/>
              </w:rPr>
            </w:pPr>
          </w:p>
        </w:tc>
        <w:tc>
          <w:tcPr>
            <w:tcW w:w="1182" w:type="dxa"/>
            <w:vAlign w:val="center"/>
          </w:tcPr>
          <w:p>
            <w:pPr>
              <w:spacing w:line="300" w:lineRule="auto"/>
              <w:jc w:val="center"/>
              <w:rPr>
                <w:rFonts w:ascii="宋体" w:hAnsi="宋体"/>
                <w:szCs w:val="21"/>
              </w:rPr>
            </w:pPr>
            <w:r>
              <w:rPr>
                <w:rFonts w:hint="eastAsia" w:ascii="宋体" w:hAnsi="宋体"/>
                <w:szCs w:val="21"/>
              </w:rPr>
              <w:t>152095</w:t>
            </w:r>
          </w:p>
        </w:tc>
        <w:tc>
          <w:tcPr>
            <w:tcW w:w="1352" w:type="dxa"/>
            <w:vAlign w:val="center"/>
          </w:tcPr>
          <w:p>
            <w:pPr>
              <w:spacing w:line="300" w:lineRule="auto"/>
              <w:jc w:val="center"/>
              <w:rPr>
                <w:rFonts w:ascii="宋体" w:hAnsi="宋体"/>
                <w:szCs w:val="21"/>
              </w:rPr>
            </w:pPr>
            <w:r>
              <w:rPr>
                <w:rFonts w:ascii="宋体" w:hAnsi="宋体"/>
                <w:szCs w:val="21"/>
              </w:rPr>
              <w:t>PUBH7103</w:t>
            </w:r>
            <w:r>
              <w:rPr>
                <w:rFonts w:hint="eastAsia" w:ascii="宋体" w:hAnsi="宋体"/>
                <w:szCs w:val="21"/>
              </w:rPr>
              <w:t>15</w:t>
            </w:r>
          </w:p>
        </w:tc>
        <w:tc>
          <w:tcPr>
            <w:tcW w:w="2727" w:type="dxa"/>
            <w:vAlign w:val="center"/>
          </w:tcPr>
          <w:p>
            <w:pPr>
              <w:spacing w:line="300" w:lineRule="auto"/>
              <w:rPr>
                <w:szCs w:val="21"/>
              </w:rPr>
            </w:pPr>
            <w:r>
              <w:rPr>
                <w:rFonts w:hint="eastAsia"/>
                <w:szCs w:val="21"/>
              </w:rPr>
              <w:t>劳动卫生与环境卫生学（</w:t>
            </w:r>
            <w:r>
              <w:rPr>
                <w:szCs w:val="21"/>
              </w:rPr>
              <w:t>2</w:t>
            </w:r>
            <w:r>
              <w:rPr>
                <w:rFonts w:hint="eastAsia"/>
                <w:szCs w:val="21"/>
              </w:rPr>
              <w:t>）</w:t>
            </w:r>
          </w:p>
        </w:tc>
        <w:tc>
          <w:tcPr>
            <w:tcW w:w="477" w:type="dxa"/>
            <w:vAlign w:val="center"/>
          </w:tcPr>
          <w:p>
            <w:pPr>
              <w:spacing w:line="300" w:lineRule="auto"/>
              <w:jc w:val="center"/>
              <w:rPr>
                <w:szCs w:val="21"/>
              </w:rPr>
            </w:pPr>
            <w:r>
              <w:rPr>
                <w:szCs w:val="21"/>
              </w:rPr>
              <w:t>2</w:t>
            </w:r>
          </w:p>
        </w:tc>
        <w:tc>
          <w:tcPr>
            <w:tcW w:w="741" w:type="dxa"/>
            <w:vMerge w:val="continue"/>
            <w:vAlign w:val="center"/>
          </w:tcPr>
          <w:p>
            <w:pPr>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3" w:type="dxa"/>
            <w:vMerge w:val="continue"/>
            <w:vAlign w:val="center"/>
          </w:tcPr>
          <w:p>
            <w:pPr>
              <w:spacing w:line="300" w:lineRule="auto"/>
              <w:jc w:val="center"/>
              <w:rPr>
                <w:szCs w:val="21"/>
              </w:rPr>
            </w:pPr>
          </w:p>
        </w:tc>
        <w:tc>
          <w:tcPr>
            <w:tcW w:w="1198" w:type="dxa"/>
            <w:vMerge w:val="continue"/>
            <w:vAlign w:val="center"/>
          </w:tcPr>
          <w:p>
            <w:pPr>
              <w:spacing w:line="300" w:lineRule="auto"/>
              <w:jc w:val="center"/>
              <w:rPr>
                <w:szCs w:val="21"/>
              </w:rPr>
            </w:pPr>
          </w:p>
        </w:tc>
        <w:tc>
          <w:tcPr>
            <w:tcW w:w="1182" w:type="dxa"/>
            <w:vAlign w:val="center"/>
          </w:tcPr>
          <w:p>
            <w:pPr>
              <w:spacing w:line="300" w:lineRule="auto"/>
              <w:jc w:val="center"/>
              <w:rPr>
                <w:rFonts w:ascii="宋体" w:hAnsi="宋体"/>
                <w:szCs w:val="21"/>
              </w:rPr>
            </w:pPr>
            <w:r>
              <w:rPr>
                <w:rFonts w:hint="eastAsia" w:ascii="宋体" w:hAnsi="宋体"/>
                <w:szCs w:val="21"/>
              </w:rPr>
              <w:t>152093</w:t>
            </w:r>
          </w:p>
        </w:tc>
        <w:tc>
          <w:tcPr>
            <w:tcW w:w="1352" w:type="dxa"/>
            <w:vAlign w:val="center"/>
          </w:tcPr>
          <w:p>
            <w:pPr>
              <w:spacing w:line="300" w:lineRule="auto"/>
              <w:jc w:val="center"/>
              <w:rPr>
                <w:rFonts w:ascii="宋体" w:hAnsi="宋体"/>
                <w:szCs w:val="21"/>
              </w:rPr>
            </w:pPr>
            <w:r>
              <w:rPr>
                <w:rFonts w:ascii="宋体" w:hAnsi="宋体"/>
                <w:szCs w:val="21"/>
              </w:rPr>
              <w:t>PUBH7101</w:t>
            </w:r>
            <w:r>
              <w:rPr>
                <w:rFonts w:hint="eastAsia" w:ascii="宋体" w:hAnsi="宋体"/>
                <w:szCs w:val="21"/>
              </w:rPr>
              <w:t>15</w:t>
            </w:r>
          </w:p>
        </w:tc>
        <w:tc>
          <w:tcPr>
            <w:tcW w:w="2727" w:type="dxa"/>
            <w:vAlign w:val="center"/>
          </w:tcPr>
          <w:p>
            <w:pPr>
              <w:spacing w:line="300" w:lineRule="auto"/>
              <w:rPr>
                <w:szCs w:val="21"/>
              </w:rPr>
            </w:pPr>
            <w:r>
              <w:rPr>
                <w:rFonts w:hint="eastAsia"/>
                <w:szCs w:val="21"/>
              </w:rPr>
              <w:t>营养与食品卫生学（</w:t>
            </w:r>
            <w:r>
              <w:rPr>
                <w:szCs w:val="21"/>
              </w:rPr>
              <w:t>2</w:t>
            </w:r>
            <w:r>
              <w:rPr>
                <w:rFonts w:hint="eastAsia"/>
                <w:szCs w:val="21"/>
              </w:rPr>
              <w:t>）</w:t>
            </w:r>
          </w:p>
        </w:tc>
        <w:tc>
          <w:tcPr>
            <w:tcW w:w="477" w:type="dxa"/>
            <w:vAlign w:val="center"/>
          </w:tcPr>
          <w:p>
            <w:pPr>
              <w:spacing w:line="300" w:lineRule="auto"/>
              <w:jc w:val="center"/>
              <w:rPr>
                <w:szCs w:val="21"/>
              </w:rPr>
            </w:pPr>
            <w:r>
              <w:rPr>
                <w:szCs w:val="21"/>
              </w:rPr>
              <w:t>2</w:t>
            </w:r>
          </w:p>
        </w:tc>
        <w:tc>
          <w:tcPr>
            <w:tcW w:w="741" w:type="dxa"/>
            <w:vMerge w:val="continue"/>
            <w:vAlign w:val="center"/>
          </w:tcPr>
          <w:p>
            <w:pPr>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3" w:type="dxa"/>
            <w:vMerge w:val="continue"/>
            <w:vAlign w:val="center"/>
          </w:tcPr>
          <w:p>
            <w:pPr>
              <w:spacing w:line="300" w:lineRule="auto"/>
              <w:jc w:val="center"/>
              <w:rPr>
                <w:szCs w:val="21"/>
              </w:rPr>
            </w:pPr>
          </w:p>
        </w:tc>
        <w:tc>
          <w:tcPr>
            <w:tcW w:w="1198" w:type="dxa"/>
            <w:vMerge w:val="continue"/>
            <w:vAlign w:val="center"/>
          </w:tcPr>
          <w:p>
            <w:pPr>
              <w:spacing w:line="300" w:lineRule="auto"/>
              <w:jc w:val="center"/>
              <w:rPr>
                <w:szCs w:val="21"/>
              </w:rPr>
            </w:pPr>
          </w:p>
        </w:tc>
        <w:tc>
          <w:tcPr>
            <w:tcW w:w="1182" w:type="dxa"/>
            <w:vAlign w:val="center"/>
          </w:tcPr>
          <w:p>
            <w:pPr>
              <w:spacing w:line="300" w:lineRule="auto"/>
              <w:jc w:val="center"/>
              <w:rPr>
                <w:rFonts w:ascii="宋体" w:hAnsi="宋体"/>
                <w:szCs w:val="21"/>
              </w:rPr>
            </w:pPr>
            <w:r>
              <w:rPr>
                <w:rFonts w:hint="eastAsia" w:ascii="宋体" w:hAnsi="宋体"/>
                <w:szCs w:val="21"/>
              </w:rPr>
              <w:t>152094</w:t>
            </w:r>
          </w:p>
        </w:tc>
        <w:tc>
          <w:tcPr>
            <w:tcW w:w="1352" w:type="dxa"/>
            <w:vAlign w:val="center"/>
          </w:tcPr>
          <w:p>
            <w:pPr>
              <w:spacing w:line="300" w:lineRule="auto"/>
              <w:jc w:val="center"/>
              <w:rPr>
                <w:rFonts w:ascii="宋体" w:hAnsi="宋体"/>
                <w:szCs w:val="21"/>
              </w:rPr>
            </w:pPr>
            <w:r>
              <w:rPr>
                <w:rFonts w:ascii="宋体" w:hAnsi="宋体"/>
                <w:szCs w:val="21"/>
              </w:rPr>
              <w:t>PUBH7102</w:t>
            </w:r>
            <w:r>
              <w:rPr>
                <w:rFonts w:hint="eastAsia" w:ascii="宋体" w:hAnsi="宋体"/>
                <w:szCs w:val="21"/>
              </w:rPr>
              <w:t>15</w:t>
            </w:r>
          </w:p>
        </w:tc>
        <w:tc>
          <w:tcPr>
            <w:tcW w:w="2727" w:type="dxa"/>
            <w:vAlign w:val="center"/>
          </w:tcPr>
          <w:p>
            <w:pPr>
              <w:spacing w:line="300" w:lineRule="auto"/>
              <w:rPr>
                <w:szCs w:val="21"/>
              </w:rPr>
            </w:pPr>
            <w:r>
              <w:rPr>
                <w:rFonts w:hint="eastAsia"/>
                <w:szCs w:val="21"/>
              </w:rPr>
              <w:t>儿少卫生与妇幼保健学（</w:t>
            </w:r>
            <w:r>
              <w:rPr>
                <w:szCs w:val="21"/>
              </w:rPr>
              <w:t>2</w:t>
            </w:r>
            <w:r>
              <w:rPr>
                <w:rFonts w:hint="eastAsia"/>
                <w:szCs w:val="21"/>
              </w:rPr>
              <w:t>）</w:t>
            </w:r>
          </w:p>
        </w:tc>
        <w:tc>
          <w:tcPr>
            <w:tcW w:w="477" w:type="dxa"/>
            <w:vAlign w:val="center"/>
          </w:tcPr>
          <w:p>
            <w:pPr>
              <w:spacing w:line="300" w:lineRule="auto"/>
              <w:jc w:val="center"/>
              <w:rPr>
                <w:szCs w:val="21"/>
              </w:rPr>
            </w:pPr>
            <w:r>
              <w:rPr>
                <w:szCs w:val="21"/>
              </w:rPr>
              <w:t>2</w:t>
            </w:r>
          </w:p>
        </w:tc>
        <w:tc>
          <w:tcPr>
            <w:tcW w:w="741" w:type="dxa"/>
            <w:vMerge w:val="continue"/>
            <w:vAlign w:val="center"/>
          </w:tcPr>
          <w:p>
            <w:pPr>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3" w:type="dxa"/>
            <w:vMerge w:val="continue"/>
            <w:vAlign w:val="center"/>
          </w:tcPr>
          <w:p>
            <w:pPr>
              <w:spacing w:line="300" w:lineRule="auto"/>
              <w:jc w:val="center"/>
              <w:rPr>
                <w:szCs w:val="21"/>
              </w:rPr>
            </w:pPr>
          </w:p>
        </w:tc>
        <w:tc>
          <w:tcPr>
            <w:tcW w:w="1198" w:type="dxa"/>
            <w:vMerge w:val="continue"/>
            <w:vAlign w:val="center"/>
          </w:tcPr>
          <w:p>
            <w:pPr>
              <w:spacing w:line="300" w:lineRule="auto"/>
              <w:jc w:val="center"/>
              <w:rPr>
                <w:szCs w:val="21"/>
              </w:rPr>
            </w:pPr>
          </w:p>
        </w:tc>
        <w:tc>
          <w:tcPr>
            <w:tcW w:w="1182" w:type="dxa"/>
            <w:vAlign w:val="center"/>
          </w:tcPr>
          <w:p>
            <w:pPr>
              <w:spacing w:line="300" w:lineRule="auto"/>
              <w:jc w:val="center"/>
              <w:rPr>
                <w:rFonts w:ascii="宋体" w:hAnsi="宋体"/>
                <w:szCs w:val="21"/>
              </w:rPr>
            </w:pPr>
            <w:r>
              <w:rPr>
                <w:rFonts w:hint="eastAsia" w:ascii="宋体" w:hAnsi="宋体"/>
                <w:szCs w:val="21"/>
              </w:rPr>
              <w:t>152132</w:t>
            </w:r>
          </w:p>
        </w:tc>
        <w:tc>
          <w:tcPr>
            <w:tcW w:w="1352" w:type="dxa"/>
            <w:vAlign w:val="center"/>
          </w:tcPr>
          <w:p>
            <w:pPr>
              <w:spacing w:line="300" w:lineRule="auto"/>
              <w:jc w:val="center"/>
              <w:rPr>
                <w:rFonts w:ascii="宋体" w:hAnsi="宋体"/>
                <w:szCs w:val="21"/>
              </w:rPr>
            </w:pPr>
            <w:r>
              <w:rPr>
                <w:rFonts w:ascii="宋体" w:hAnsi="宋体"/>
                <w:szCs w:val="21"/>
              </w:rPr>
              <w:t>PUBH7105</w:t>
            </w:r>
            <w:r>
              <w:rPr>
                <w:rFonts w:hint="eastAsia" w:ascii="宋体" w:hAnsi="宋体"/>
                <w:szCs w:val="21"/>
              </w:rPr>
              <w:t>15</w:t>
            </w:r>
          </w:p>
        </w:tc>
        <w:tc>
          <w:tcPr>
            <w:tcW w:w="2727" w:type="dxa"/>
            <w:vAlign w:val="center"/>
          </w:tcPr>
          <w:p>
            <w:pPr>
              <w:spacing w:line="300" w:lineRule="auto"/>
              <w:rPr>
                <w:szCs w:val="21"/>
              </w:rPr>
            </w:pPr>
            <w:r>
              <w:rPr>
                <w:rFonts w:hint="eastAsia"/>
                <w:szCs w:val="21"/>
              </w:rPr>
              <w:t>卫生毒理学（</w:t>
            </w:r>
            <w:r>
              <w:rPr>
                <w:szCs w:val="21"/>
              </w:rPr>
              <w:t>2</w:t>
            </w:r>
            <w:r>
              <w:rPr>
                <w:rFonts w:hint="eastAsia"/>
                <w:szCs w:val="21"/>
              </w:rPr>
              <w:t>）</w:t>
            </w:r>
          </w:p>
        </w:tc>
        <w:tc>
          <w:tcPr>
            <w:tcW w:w="477" w:type="dxa"/>
            <w:vAlign w:val="center"/>
          </w:tcPr>
          <w:p>
            <w:pPr>
              <w:spacing w:line="300" w:lineRule="auto"/>
              <w:jc w:val="center"/>
              <w:rPr>
                <w:szCs w:val="21"/>
              </w:rPr>
            </w:pPr>
            <w:r>
              <w:rPr>
                <w:szCs w:val="21"/>
              </w:rPr>
              <w:t>2</w:t>
            </w:r>
          </w:p>
        </w:tc>
        <w:tc>
          <w:tcPr>
            <w:tcW w:w="741" w:type="dxa"/>
            <w:vMerge w:val="continue"/>
            <w:vAlign w:val="center"/>
          </w:tcPr>
          <w:p>
            <w:pPr>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3" w:type="dxa"/>
            <w:vAlign w:val="center"/>
          </w:tcPr>
          <w:p>
            <w:pPr>
              <w:spacing w:line="300" w:lineRule="auto"/>
              <w:jc w:val="center"/>
              <w:rPr>
                <w:szCs w:val="21"/>
              </w:rPr>
            </w:pPr>
            <w:r>
              <w:rPr>
                <w:rFonts w:hint="eastAsia"/>
                <w:szCs w:val="21"/>
              </w:rPr>
              <w:t>选修课</w:t>
            </w:r>
          </w:p>
        </w:tc>
        <w:tc>
          <w:tcPr>
            <w:tcW w:w="1198" w:type="dxa"/>
            <w:vAlign w:val="center"/>
          </w:tcPr>
          <w:p>
            <w:pPr>
              <w:spacing w:line="300" w:lineRule="auto"/>
              <w:jc w:val="center"/>
              <w:rPr>
                <w:szCs w:val="21"/>
              </w:rPr>
            </w:pPr>
            <w:r>
              <w:rPr>
                <w:rFonts w:hint="eastAsia"/>
                <w:szCs w:val="21"/>
              </w:rPr>
              <w:t>专业选修课</w:t>
            </w:r>
          </w:p>
        </w:tc>
        <w:tc>
          <w:tcPr>
            <w:tcW w:w="1182" w:type="dxa"/>
            <w:vAlign w:val="center"/>
          </w:tcPr>
          <w:p>
            <w:pPr>
              <w:spacing w:line="300" w:lineRule="auto"/>
              <w:jc w:val="center"/>
              <w:rPr>
                <w:rFonts w:ascii="宋体" w:hAnsi="宋体"/>
                <w:szCs w:val="21"/>
              </w:rPr>
            </w:pPr>
          </w:p>
        </w:tc>
        <w:tc>
          <w:tcPr>
            <w:tcW w:w="1352" w:type="dxa"/>
            <w:vAlign w:val="center"/>
          </w:tcPr>
          <w:p>
            <w:pPr>
              <w:spacing w:line="300" w:lineRule="auto"/>
              <w:jc w:val="center"/>
              <w:rPr>
                <w:rFonts w:ascii="宋体" w:hAnsi="宋体"/>
                <w:szCs w:val="21"/>
              </w:rPr>
            </w:pPr>
            <w:r>
              <w:rPr>
                <w:rFonts w:ascii="宋体" w:hAnsi="宋体"/>
                <w:szCs w:val="21"/>
              </w:rPr>
              <w:t>/</w:t>
            </w:r>
          </w:p>
        </w:tc>
        <w:tc>
          <w:tcPr>
            <w:tcW w:w="2727" w:type="dxa"/>
            <w:vAlign w:val="center"/>
          </w:tcPr>
          <w:p>
            <w:pPr>
              <w:spacing w:line="300" w:lineRule="auto"/>
              <w:rPr>
                <w:szCs w:val="21"/>
              </w:rPr>
            </w:pPr>
            <w:r>
              <w:rPr>
                <w:rFonts w:hint="eastAsia"/>
                <w:szCs w:val="21"/>
              </w:rPr>
              <w:t>研究生课程目录上选修</w:t>
            </w:r>
          </w:p>
        </w:tc>
        <w:tc>
          <w:tcPr>
            <w:tcW w:w="477" w:type="dxa"/>
            <w:vAlign w:val="center"/>
          </w:tcPr>
          <w:p>
            <w:pPr>
              <w:spacing w:line="300" w:lineRule="auto"/>
              <w:jc w:val="center"/>
              <w:rPr>
                <w:szCs w:val="21"/>
              </w:rPr>
            </w:pPr>
            <w:r>
              <w:rPr>
                <w:szCs w:val="21"/>
              </w:rPr>
              <w:t>≥</w:t>
            </w:r>
            <w:r>
              <w:rPr>
                <w:rFonts w:hint="eastAsia"/>
                <w:szCs w:val="21"/>
              </w:rPr>
              <w:t>6</w:t>
            </w:r>
          </w:p>
        </w:tc>
        <w:tc>
          <w:tcPr>
            <w:tcW w:w="741" w:type="dxa"/>
            <w:vAlign w:val="center"/>
          </w:tcPr>
          <w:p>
            <w:pPr>
              <w:spacing w:line="300" w:lineRule="auto"/>
              <w:jc w:val="center"/>
              <w:rPr>
                <w:szCs w:val="21"/>
              </w:rPr>
            </w:pPr>
            <w:r>
              <w:rPr>
                <w:szCs w:val="21"/>
              </w:rPr>
              <w:t>≥</w:t>
            </w: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3" w:type="dxa"/>
            <w:vMerge w:val="restart"/>
            <w:vAlign w:val="center"/>
          </w:tcPr>
          <w:p>
            <w:pPr>
              <w:spacing w:line="300" w:lineRule="auto"/>
              <w:jc w:val="center"/>
              <w:rPr>
                <w:szCs w:val="21"/>
              </w:rPr>
            </w:pPr>
            <w:r>
              <w:rPr>
                <w:rFonts w:hint="eastAsia"/>
                <w:szCs w:val="21"/>
              </w:rPr>
              <w:t>必修环节</w:t>
            </w:r>
          </w:p>
        </w:tc>
        <w:tc>
          <w:tcPr>
            <w:tcW w:w="1198" w:type="dxa"/>
            <w:vMerge w:val="restart"/>
            <w:vAlign w:val="center"/>
          </w:tcPr>
          <w:p>
            <w:pPr>
              <w:spacing w:line="300" w:lineRule="auto"/>
              <w:jc w:val="center"/>
              <w:rPr>
                <w:rFonts w:ascii="宋体" w:hAnsi="宋体"/>
                <w:szCs w:val="21"/>
              </w:rPr>
            </w:pPr>
            <w:r>
              <w:rPr>
                <w:rFonts w:ascii="宋体" w:hAnsi="宋体"/>
                <w:szCs w:val="21"/>
              </w:rPr>
              <w:t>/</w:t>
            </w:r>
          </w:p>
        </w:tc>
        <w:tc>
          <w:tcPr>
            <w:tcW w:w="1182" w:type="dxa"/>
            <w:vAlign w:val="center"/>
          </w:tcPr>
          <w:p>
            <w:pPr>
              <w:spacing w:line="300" w:lineRule="auto"/>
              <w:jc w:val="center"/>
              <w:rPr>
                <w:rFonts w:ascii="宋体" w:hAnsi="宋体"/>
                <w:szCs w:val="21"/>
              </w:rPr>
            </w:pPr>
            <w:r>
              <w:rPr>
                <w:rFonts w:hint="eastAsia" w:ascii="宋体" w:hAnsi="宋体"/>
                <w:szCs w:val="21"/>
              </w:rPr>
              <w:t>001997</w:t>
            </w:r>
          </w:p>
        </w:tc>
        <w:tc>
          <w:tcPr>
            <w:tcW w:w="1352" w:type="dxa"/>
            <w:vAlign w:val="center"/>
          </w:tcPr>
          <w:p>
            <w:pPr>
              <w:spacing w:line="300" w:lineRule="auto"/>
              <w:jc w:val="center"/>
              <w:rPr>
                <w:rFonts w:ascii="宋体" w:hAnsi="宋体"/>
                <w:szCs w:val="21"/>
              </w:rPr>
            </w:pPr>
            <w:r>
              <w:rPr>
                <w:rFonts w:ascii="宋体" w:hAnsi="宋体"/>
                <w:szCs w:val="21"/>
              </w:rPr>
              <w:t>BXHJ6003</w:t>
            </w:r>
            <w:r>
              <w:rPr>
                <w:rFonts w:hint="eastAsia" w:ascii="宋体" w:hAnsi="宋体"/>
                <w:szCs w:val="21"/>
              </w:rPr>
              <w:t>99</w:t>
            </w:r>
          </w:p>
        </w:tc>
        <w:tc>
          <w:tcPr>
            <w:tcW w:w="2727" w:type="dxa"/>
            <w:vAlign w:val="center"/>
          </w:tcPr>
          <w:p>
            <w:pPr>
              <w:spacing w:line="300" w:lineRule="auto"/>
              <w:rPr>
                <w:szCs w:val="21"/>
              </w:rPr>
            </w:pPr>
            <w:r>
              <w:rPr>
                <w:rFonts w:hint="eastAsia"/>
                <w:szCs w:val="21"/>
              </w:rPr>
              <w:t>学术活动（讲座）硕</w:t>
            </w:r>
          </w:p>
        </w:tc>
        <w:tc>
          <w:tcPr>
            <w:tcW w:w="477" w:type="dxa"/>
            <w:vAlign w:val="center"/>
          </w:tcPr>
          <w:p>
            <w:pPr>
              <w:spacing w:line="300" w:lineRule="auto"/>
              <w:jc w:val="center"/>
              <w:rPr>
                <w:szCs w:val="21"/>
              </w:rPr>
            </w:pPr>
            <w:r>
              <w:rPr>
                <w:szCs w:val="21"/>
              </w:rPr>
              <w:t>1</w:t>
            </w:r>
          </w:p>
        </w:tc>
        <w:tc>
          <w:tcPr>
            <w:tcW w:w="741" w:type="dxa"/>
            <w:vMerge w:val="restart"/>
            <w:vAlign w:val="center"/>
          </w:tcPr>
          <w:p>
            <w:pPr>
              <w:spacing w:line="300" w:lineRule="auto"/>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3" w:type="dxa"/>
            <w:vMerge w:val="continue"/>
            <w:vAlign w:val="center"/>
          </w:tcPr>
          <w:p>
            <w:pPr>
              <w:spacing w:line="300" w:lineRule="auto"/>
              <w:jc w:val="center"/>
              <w:rPr>
                <w:szCs w:val="21"/>
              </w:rPr>
            </w:pPr>
          </w:p>
        </w:tc>
        <w:tc>
          <w:tcPr>
            <w:tcW w:w="1198" w:type="dxa"/>
            <w:vMerge w:val="continue"/>
            <w:vAlign w:val="center"/>
          </w:tcPr>
          <w:p>
            <w:pPr>
              <w:spacing w:line="300" w:lineRule="auto"/>
              <w:jc w:val="center"/>
              <w:rPr>
                <w:szCs w:val="21"/>
              </w:rPr>
            </w:pPr>
          </w:p>
        </w:tc>
        <w:tc>
          <w:tcPr>
            <w:tcW w:w="1182" w:type="dxa"/>
            <w:vAlign w:val="center"/>
          </w:tcPr>
          <w:p>
            <w:pPr>
              <w:spacing w:line="300" w:lineRule="auto"/>
              <w:jc w:val="center"/>
              <w:rPr>
                <w:rFonts w:ascii="宋体" w:hAnsi="宋体"/>
                <w:szCs w:val="21"/>
              </w:rPr>
            </w:pPr>
            <w:r>
              <w:rPr>
                <w:rFonts w:hint="eastAsia" w:ascii="宋体" w:hAnsi="宋体"/>
                <w:szCs w:val="21"/>
              </w:rPr>
              <w:t>001983</w:t>
            </w:r>
          </w:p>
        </w:tc>
        <w:tc>
          <w:tcPr>
            <w:tcW w:w="1352" w:type="dxa"/>
            <w:vAlign w:val="center"/>
          </w:tcPr>
          <w:p>
            <w:pPr>
              <w:spacing w:line="300" w:lineRule="auto"/>
              <w:jc w:val="center"/>
              <w:rPr>
                <w:rFonts w:ascii="宋体" w:hAnsi="宋体"/>
                <w:szCs w:val="21"/>
              </w:rPr>
            </w:pPr>
            <w:r>
              <w:rPr>
                <w:rFonts w:ascii="宋体" w:hAnsi="宋体"/>
                <w:szCs w:val="21"/>
              </w:rPr>
              <w:t>BXHJ6006</w:t>
            </w:r>
            <w:r>
              <w:rPr>
                <w:rFonts w:hint="eastAsia" w:ascii="宋体" w:hAnsi="宋体"/>
                <w:szCs w:val="21"/>
              </w:rPr>
              <w:t>99</w:t>
            </w:r>
          </w:p>
        </w:tc>
        <w:tc>
          <w:tcPr>
            <w:tcW w:w="2727" w:type="dxa"/>
            <w:vAlign w:val="center"/>
          </w:tcPr>
          <w:p>
            <w:pPr>
              <w:spacing w:line="300" w:lineRule="auto"/>
              <w:rPr>
                <w:szCs w:val="21"/>
              </w:rPr>
            </w:pPr>
            <w:r>
              <w:rPr>
                <w:szCs w:val="21"/>
              </w:rPr>
              <w:t>社会实践</w:t>
            </w:r>
          </w:p>
        </w:tc>
        <w:tc>
          <w:tcPr>
            <w:tcW w:w="477" w:type="dxa"/>
            <w:vAlign w:val="center"/>
          </w:tcPr>
          <w:p>
            <w:pPr>
              <w:spacing w:line="300" w:lineRule="auto"/>
              <w:jc w:val="center"/>
              <w:rPr>
                <w:szCs w:val="21"/>
              </w:rPr>
            </w:pPr>
            <w:r>
              <w:rPr>
                <w:szCs w:val="21"/>
              </w:rPr>
              <w:t>1</w:t>
            </w:r>
          </w:p>
        </w:tc>
        <w:tc>
          <w:tcPr>
            <w:tcW w:w="741" w:type="dxa"/>
            <w:vMerge w:val="continue"/>
            <w:vAlign w:val="center"/>
          </w:tcPr>
          <w:p>
            <w:pPr>
              <w:spacing w:line="300"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53" w:type="dxa"/>
            <w:vMerge w:val="continue"/>
            <w:vAlign w:val="center"/>
          </w:tcPr>
          <w:p>
            <w:pPr>
              <w:spacing w:line="300" w:lineRule="auto"/>
              <w:jc w:val="center"/>
              <w:rPr>
                <w:szCs w:val="21"/>
              </w:rPr>
            </w:pPr>
          </w:p>
        </w:tc>
        <w:tc>
          <w:tcPr>
            <w:tcW w:w="1198" w:type="dxa"/>
            <w:vMerge w:val="continue"/>
            <w:vAlign w:val="center"/>
          </w:tcPr>
          <w:p>
            <w:pPr>
              <w:spacing w:line="300" w:lineRule="auto"/>
              <w:jc w:val="center"/>
              <w:rPr>
                <w:szCs w:val="21"/>
              </w:rPr>
            </w:pPr>
          </w:p>
        </w:tc>
        <w:tc>
          <w:tcPr>
            <w:tcW w:w="1182" w:type="dxa"/>
            <w:vAlign w:val="center"/>
          </w:tcPr>
          <w:p>
            <w:pPr>
              <w:spacing w:line="300" w:lineRule="auto"/>
              <w:jc w:val="center"/>
              <w:rPr>
                <w:rFonts w:ascii="宋体" w:hAnsi="宋体"/>
                <w:szCs w:val="21"/>
              </w:rPr>
            </w:pPr>
            <w:r>
              <w:rPr>
                <w:rFonts w:hint="eastAsia" w:ascii="宋体" w:hAnsi="宋体"/>
                <w:szCs w:val="21"/>
              </w:rPr>
              <w:t>001981</w:t>
            </w:r>
          </w:p>
        </w:tc>
        <w:tc>
          <w:tcPr>
            <w:tcW w:w="1352" w:type="dxa"/>
            <w:vAlign w:val="center"/>
          </w:tcPr>
          <w:p>
            <w:pPr>
              <w:spacing w:line="300" w:lineRule="auto"/>
              <w:jc w:val="center"/>
              <w:rPr>
                <w:rFonts w:ascii="宋体" w:hAnsi="宋体"/>
                <w:szCs w:val="21"/>
              </w:rPr>
            </w:pPr>
            <w:r>
              <w:rPr>
                <w:rFonts w:ascii="宋体" w:hAnsi="宋体"/>
                <w:szCs w:val="21"/>
              </w:rPr>
              <w:t>BXHJ6007</w:t>
            </w:r>
            <w:r>
              <w:rPr>
                <w:rFonts w:hint="eastAsia" w:ascii="宋体" w:hAnsi="宋体"/>
                <w:szCs w:val="21"/>
              </w:rPr>
              <w:t>99</w:t>
            </w:r>
          </w:p>
        </w:tc>
        <w:tc>
          <w:tcPr>
            <w:tcW w:w="2727" w:type="dxa"/>
            <w:vAlign w:val="center"/>
          </w:tcPr>
          <w:p>
            <w:pPr>
              <w:spacing w:line="300" w:lineRule="auto"/>
              <w:rPr>
                <w:szCs w:val="21"/>
              </w:rPr>
            </w:pPr>
            <w:r>
              <w:rPr>
                <w:rFonts w:hint="eastAsia"/>
                <w:szCs w:val="21"/>
              </w:rPr>
              <w:t>中期考核（硕）</w:t>
            </w:r>
          </w:p>
        </w:tc>
        <w:tc>
          <w:tcPr>
            <w:tcW w:w="477" w:type="dxa"/>
            <w:vAlign w:val="center"/>
          </w:tcPr>
          <w:p>
            <w:pPr>
              <w:spacing w:line="300" w:lineRule="auto"/>
              <w:jc w:val="center"/>
              <w:rPr>
                <w:szCs w:val="21"/>
              </w:rPr>
            </w:pPr>
            <w:r>
              <w:rPr>
                <w:szCs w:val="21"/>
              </w:rPr>
              <w:t>3</w:t>
            </w:r>
          </w:p>
        </w:tc>
        <w:tc>
          <w:tcPr>
            <w:tcW w:w="741" w:type="dxa"/>
            <w:vMerge w:val="continue"/>
            <w:vAlign w:val="center"/>
          </w:tcPr>
          <w:p>
            <w:pPr>
              <w:spacing w:line="300" w:lineRule="auto"/>
              <w:jc w:val="center"/>
              <w:rPr>
                <w:szCs w:val="21"/>
              </w:rPr>
            </w:pPr>
          </w:p>
        </w:tc>
      </w:tr>
    </w:tbl>
    <w:p>
      <w:pPr>
        <w:spacing w:before="192" w:beforeLines="80" w:after="120" w:afterLines="50" w:line="286" w:lineRule="auto"/>
        <w:rPr>
          <w:rFonts w:hint="eastAsia" w:eastAsia="黑体"/>
          <w:bCs/>
          <w:sz w:val="10"/>
          <w:szCs w:val="10"/>
        </w:rPr>
      </w:pPr>
    </w:p>
    <w:p>
      <w:pPr>
        <w:keepNext w:val="0"/>
        <w:keepLines w:val="0"/>
        <w:pageBreakBefore w:val="0"/>
        <w:widowControl w:val="0"/>
        <w:kinsoku/>
        <w:wordWrap/>
        <w:overflowPunct/>
        <w:topLinePunct w:val="0"/>
        <w:autoSpaceDE/>
        <w:autoSpaceDN/>
        <w:bidi w:val="0"/>
        <w:spacing w:before="192" w:beforeLines="80" w:after="120" w:afterLines="50" w:line="300" w:lineRule="auto"/>
        <w:textAlignment w:val="auto"/>
        <w:rPr>
          <w:rFonts w:eastAsia="黑体"/>
          <w:bCs/>
          <w:sz w:val="24"/>
        </w:rPr>
      </w:pPr>
      <w:r>
        <w:rPr>
          <w:rFonts w:hint="eastAsia" w:eastAsia="黑体"/>
          <w:bCs/>
          <w:sz w:val="24"/>
        </w:rPr>
        <w:t>六、社会实践</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宋体" w:hAnsi="宋体"/>
          <w:szCs w:val="21"/>
        </w:rPr>
      </w:pPr>
      <w:r>
        <w:rPr>
          <w:rFonts w:hint="eastAsia" w:ascii="宋体" w:hAnsi="宋体"/>
          <w:szCs w:val="21"/>
        </w:rPr>
        <w:t>社会实践的时间为不少于</w:t>
      </w:r>
      <w:r>
        <w:rPr>
          <w:rFonts w:ascii="宋体" w:hAnsi="宋体"/>
          <w:szCs w:val="21"/>
        </w:rPr>
        <w:t>1</w:t>
      </w:r>
      <w:r>
        <w:rPr>
          <w:rFonts w:hint="eastAsia" w:ascii="宋体" w:hAnsi="宋体"/>
          <w:szCs w:val="21"/>
        </w:rPr>
        <w:t>个月。可根据工作实际和计划进度，在科研训练和学位论文的准备过程中穿插安排。</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宋体" w:hAnsi="宋体"/>
          <w:szCs w:val="21"/>
        </w:rPr>
      </w:pPr>
      <w:r>
        <w:rPr>
          <w:rFonts w:hint="eastAsia" w:ascii="宋体" w:hAnsi="宋体"/>
          <w:szCs w:val="21"/>
        </w:rPr>
        <w:t>社会实践应根据二级学科的专业特点，密切结合疾病防治与卫生管理工作的实际，围绕严重影响人群健康的常见卫生问题，通过公共卫生调查、社区与现场实践活动等，进行学科基础训练，培养学生发现问题、解决问题的能力和严谨的科学作风。</w:t>
      </w:r>
    </w:p>
    <w:p>
      <w:pPr>
        <w:keepNext w:val="0"/>
        <w:keepLines w:val="0"/>
        <w:pageBreakBefore w:val="0"/>
        <w:widowControl w:val="0"/>
        <w:kinsoku/>
        <w:wordWrap/>
        <w:overflowPunct/>
        <w:topLinePunct w:val="0"/>
        <w:autoSpaceDE/>
        <w:autoSpaceDN/>
        <w:bidi w:val="0"/>
        <w:spacing w:line="300" w:lineRule="auto"/>
        <w:ind w:firstLine="420" w:firstLineChars="200"/>
        <w:textAlignment w:val="auto"/>
        <w:rPr>
          <w:rFonts w:ascii="宋体" w:hAnsi="宋体"/>
          <w:szCs w:val="21"/>
        </w:rPr>
      </w:pPr>
      <w:r>
        <w:rPr>
          <w:rFonts w:hint="eastAsia" w:ascii="宋体" w:hAnsi="宋体"/>
          <w:szCs w:val="21"/>
        </w:rPr>
        <w:t>社会实践应完成相应的工作量，达到规定的质量要求并提交一份科学、翔实的工作总结报告，记录在《社会实践工作总结》上。</w:t>
      </w:r>
    </w:p>
    <w:p>
      <w:pPr>
        <w:keepNext w:val="0"/>
        <w:keepLines w:val="0"/>
        <w:pageBreakBefore w:val="0"/>
        <w:widowControl w:val="0"/>
        <w:kinsoku/>
        <w:wordWrap/>
        <w:overflowPunct/>
        <w:topLinePunct w:val="0"/>
        <w:autoSpaceDE/>
        <w:autoSpaceDN/>
        <w:bidi w:val="0"/>
        <w:spacing w:before="192" w:beforeLines="80" w:after="120" w:afterLines="50" w:line="300" w:lineRule="auto"/>
        <w:textAlignment w:val="auto"/>
        <w:rPr>
          <w:rFonts w:eastAsia="黑体"/>
          <w:bCs/>
          <w:sz w:val="24"/>
        </w:rPr>
      </w:pPr>
      <w:r>
        <w:rPr>
          <w:rFonts w:hint="eastAsia" w:eastAsia="黑体"/>
          <w:bCs/>
          <w:sz w:val="24"/>
        </w:rPr>
        <w:t>七、学位论文</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rPr>
          <w:szCs w:val="21"/>
        </w:rPr>
      </w:pPr>
      <w:r>
        <w:rPr>
          <w:rFonts w:hint="eastAsia"/>
          <w:szCs w:val="21"/>
        </w:rPr>
        <w:t>学位论文应在导师的指导下，由硕士生独立完成。学位论文应科学求实、文字简洁、分析严谨，理论推导和计算正确无误。</w:t>
      </w:r>
      <w:r>
        <w:rPr>
          <w:rFonts w:hint="eastAsia" w:ascii="宋体" w:hAnsi="Courier New" w:cs="宋体"/>
          <w:kern w:val="0"/>
          <w:szCs w:val="21"/>
        </w:rPr>
        <w:t>论文要求选题紧密结合公共卫生和预防医学的实际（践），研究立论科学、数据收集客观、分析方法合理，图表规范，讨论充分，结论明确，引文准确合理。研究结论应注重实用性以及对公共卫生工作具有指导意义，体现应用价值或一定的新见解。</w:t>
      </w:r>
      <w:r>
        <w:rPr>
          <w:rFonts w:hint="eastAsia"/>
          <w:szCs w:val="21"/>
        </w:rPr>
        <w:t>学位论文应实行评审和答辩，硕士生在答辩时应能准确地回答与论文相关的问题。</w:t>
      </w:r>
    </w:p>
    <w:p>
      <w:pPr>
        <w:keepNext w:val="0"/>
        <w:keepLines w:val="0"/>
        <w:pageBreakBefore w:val="0"/>
        <w:widowControl w:val="0"/>
        <w:kinsoku/>
        <w:wordWrap/>
        <w:overflowPunct/>
        <w:topLinePunct w:val="0"/>
        <w:autoSpaceDE/>
        <w:autoSpaceDN/>
        <w:bidi w:val="0"/>
        <w:adjustRightInd w:val="0"/>
        <w:snapToGrid w:val="0"/>
        <w:spacing w:line="300" w:lineRule="auto"/>
        <w:ind w:firstLine="420" w:firstLineChars="200"/>
        <w:textAlignment w:val="auto"/>
      </w:pPr>
      <w:r>
        <w:rPr>
          <w:rFonts w:hint="eastAsia"/>
          <w:szCs w:val="21"/>
        </w:rPr>
        <w:t>论文答辩按照《西安交通大学关于研究生学位申请的若干规定》进行。</w:t>
      </w:r>
    </w:p>
    <w:p>
      <w:pPr>
        <w:keepNext w:val="0"/>
        <w:keepLines w:val="0"/>
        <w:pageBreakBefore w:val="0"/>
        <w:widowControl w:val="0"/>
        <w:kinsoku/>
        <w:wordWrap/>
        <w:overflowPunct/>
        <w:topLinePunct w:val="0"/>
        <w:autoSpaceDE/>
        <w:autoSpaceDN/>
        <w:bidi w:val="0"/>
        <w:spacing w:line="300" w:lineRule="auto"/>
        <w:textAlignment w:val="auto"/>
        <w:rPr>
          <w:rFonts w:ascii="Calibri" w:hAnsi="Calibri"/>
        </w:rPr>
      </w:pPr>
    </w:p>
    <w:p>
      <w:pPr>
        <w:widowControl/>
        <w:spacing w:line="286" w:lineRule="auto"/>
        <w:ind w:firstLine="420"/>
        <w:rPr>
          <w:rFonts w:ascii="宋体" w:hAnsi="宋体"/>
        </w:rPr>
      </w:pPr>
    </w:p>
    <w:bookmarkEnd w:id="579"/>
    <w:p>
      <w:pPr>
        <w:spacing w:line="286" w:lineRule="auto"/>
      </w:pPr>
    </w:p>
    <w:p>
      <w:pPr>
        <w:keepNext/>
        <w:keepLines/>
        <w:spacing w:before="340" w:after="340" w:line="286" w:lineRule="auto"/>
        <w:jc w:val="center"/>
        <w:outlineLvl w:val="0"/>
        <w:rPr>
          <w:rFonts w:ascii="宋体" w:hAnsi="宋体" w:eastAsia="宋体" w:cs="Times New Roman"/>
        </w:rPr>
      </w:pPr>
    </w:p>
    <w:sectPr>
      <w:headerReference r:id="rId7" w:type="default"/>
      <w:footerReference r:id="rId9" w:type="default"/>
      <w:headerReference r:id="rId8" w:type="even"/>
      <w:footerReference r:id="rId10" w:type="even"/>
      <w:pgSz w:w="11906" w:h="16838"/>
      <w:pgMar w:top="1701" w:right="1531" w:bottom="1418" w:left="1531" w:header="1701" w:footer="964"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Malgun Gothic Semilight">
    <w:panose1 w:val="020B0502040204020203"/>
    <w:charset w:val="86"/>
    <w:family w:val="auto"/>
    <w:pitch w:val="default"/>
    <w:sig w:usb0="900002AF" w:usb1="01D77CFB" w:usb2="00000012" w:usb3="00000000" w:csb0="203E01BD" w:csb1="D7FF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ascii="Times New Roman" w:hAnsi="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spacing w:before="120" w:beforeLines="5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CBEB27"/>
    <w:multiLevelType w:val="singleLevel"/>
    <w:tmpl w:val="F2CBEB27"/>
    <w:lvl w:ilvl="0" w:tentative="0">
      <w:start w:val="9"/>
      <w:numFmt w:val="decimal"/>
      <w:suff w:val="space"/>
      <w:lvlText w:val="%1."/>
      <w:lvlJc w:val="left"/>
    </w:lvl>
  </w:abstractNum>
  <w:abstractNum w:abstractNumId="1">
    <w:nsid w:val="1D492338"/>
    <w:multiLevelType w:val="multilevel"/>
    <w:tmpl w:val="1D492338"/>
    <w:lvl w:ilvl="0" w:tentative="0">
      <w:start w:val="1"/>
      <w:numFmt w:val="decimal"/>
      <w:lvlText w:val="(%1)"/>
      <w:lvlJc w:val="left"/>
      <w:pPr>
        <w:ind w:left="704" w:hanging="420"/>
      </w:pPr>
      <w:rPr>
        <w:rFonts w:hint="default" w:ascii="Times New Roman" w:hAnsi="Times New Roman" w:eastAsia="新宋体"/>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
    <w:nsid w:val="4811729D"/>
    <w:multiLevelType w:val="multilevel"/>
    <w:tmpl w:val="4811729D"/>
    <w:lvl w:ilvl="0" w:tentative="0">
      <w:start w:val="1"/>
      <w:numFmt w:val="decimal"/>
      <w:lvlText w:val="%1"/>
      <w:lvlJc w:val="left"/>
      <w:pPr>
        <w:ind w:left="420" w:hanging="420"/>
      </w:pPr>
      <w:rPr>
        <w:rFonts w:hint="eastAsia"/>
      </w:rPr>
    </w:lvl>
    <w:lvl w:ilvl="1" w:tentative="0">
      <w:start w:val="1"/>
      <w:numFmt w:val="lowerLetter"/>
      <w:pStyle w:val="7"/>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66B5652"/>
    <w:multiLevelType w:val="multilevel"/>
    <w:tmpl w:val="666B565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A71937C"/>
    <w:multiLevelType w:val="singleLevel"/>
    <w:tmpl w:val="6A71937C"/>
    <w:lvl w:ilvl="0" w:tentative="0">
      <w:start w:val="8"/>
      <w:numFmt w:val="chineseCounting"/>
      <w:suff w:val="nothing"/>
      <w:lvlText w:val="%1、"/>
      <w:lvlJc w:val="left"/>
      <w:rPr>
        <w:rFonts w:hint="eastAsia"/>
      </w:rPr>
    </w:lvl>
  </w:abstractNum>
  <w:abstractNum w:abstractNumId="5">
    <w:nsid w:val="7FD5E4D4"/>
    <w:multiLevelType w:val="singleLevel"/>
    <w:tmpl w:val="7FD5E4D4"/>
    <w:lvl w:ilvl="0" w:tentative="0">
      <w:start w:val="5"/>
      <w:numFmt w:val="decimal"/>
      <w:suff w:val="space"/>
      <w:lvlText w:val="%1."/>
      <w:lvlJc w:val="left"/>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isplayBackgroundShape w:val="1"/>
  <w:bordersDoNotSurroundHeader w:val="1"/>
  <w:bordersDoNotSurroundFooter w:val="1"/>
  <w:hideSpellingError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1ZjY2ZTNhNTEzZGNjMDcwNjc1MzgxOTFjMjEzMzAifQ=="/>
  </w:docVars>
  <w:rsids>
    <w:rsidRoot w:val="00957435"/>
    <w:rsid w:val="000007C3"/>
    <w:rsid w:val="00000801"/>
    <w:rsid w:val="00001699"/>
    <w:rsid w:val="00002058"/>
    <w:rsid w:val="00003158"/>
    <w:rsid w:val="00005E24"/>
    <w:rsid w:val="00006FFF"/>
    <w:rsid w:val="000072E6"/>
    <w:rsid w:val="00010F4F"/>
    <w:rsid w:val="000111B5"/>
    <w:rsid w:val="00011BCD"/>
    <w:rsid w:val="00012866"/>
    <w:rsid w:val="00013176"/>
    <w:rsid w:val="00015709"/>
    <w:rsid w:val="00015B6E"/>
    <w:rsid w:val="000173AE"/>
    <w:rsid w:val="00017D48"/>
    <w:rsid w:val="000204A5"/>
    <w:rsid w:val="00020AD7"/>
    <w:rsid w:val="0002412B"/>
    <w:rsid w:val="0002458D"/>
    <w:rsid w:val="000246B3"/>
    <w:rsid w:val="00024A3E"/>
    <w:rsid w:val="00026D63"/>
    <w:rsid w:val="00027479"/>
    <w:rsid w:val="00032027"/>
    <w:rsid w:val="00035FBE"/>
    <w:rsid w:val="000413AF"/>
    <w:rsid w:val="00041529"/>
    <w:rsid w:val="0004180E"/>
    <w:rsid w:val="000428E0"/>
    <w:rsid w:val="00042EEF"/>
    <w:rsid w:val="000436E9"/>
    <w:rsid w:val="000504D2"/>
    <w:rsid w:val="00050954"/>
    <w:rsid w:val="00050B70"/>
    <w:rsid w:val="00052425"/>
    <w:rsid w:val="00052D88"/>
    <w:rsid w:val="00052EBC"/>
    <w:rsid w:val="00053E70"/>
    <w:rsid w:val="000556E9"/>
    <w:rsid w:val="00055826"/>
    <w:rsid w:val="0005594C"/>
    <w:rsid w:val="00056113"/>
    <w:rsid w:val="000571BC"/>
    <w:rsid w:val="00057AA2"/>
    <w:rsid w:val="00062AE2"/>
    <w:rsid w:val="00064969"/>
    <w:rsid w:val="00066696"/>
    <w:rsid w:val="00067DE7"/>
    <w:rsid w:val="000724A5"/>
    <w:rsid w:val="00073047"/>
    <w:rsid w:val="00073A3D"/>
    <w:rsid w:val="00075579"/>
    <w:rsid w:val="00075F96"/>
    <w:rsid w:val="00076062"/>
    <w:rsid w:val="0007705B"/>
    <w:rsid w:val="000777CA"/>
    <w:rsid w:val="00081701"/>
    <w:rsid w:val="00082D0A"/>
    <w:rsid w:val="000834F4"/>
    <w:rsid w:val="0008489A"/>
    <w:rsid w:val="00084E10"/>
    <w:rsid w:val="00085548"/>
    <w:rsid w:val="0008697D"/>
    <w:rsid w:val="00086D39"/>
    <w:rsid w:val="00087563"/>
    <w:rsid w:val="00090613"/>
    <w:rsid w:val="00091B38"/>
    <w:rsid w:val="000920E2"/>
    <w:rsid w:val="00092CDA"/>
    <w:rsid w:val="00093DEF"/>
    <w:rsid w:val="00094445"/>
    <w:rsid w:val="000944BF"/>
    <w:rsid w:val="00095A47"/>
    <w:rsid w:val="0009621A"/>
    <w:rsid w:val="000964D7"/>
    <w:rsid w:val="0009695F"/>
    <w:rsid w:val="000972A6"/>
    <w:rsid w:val="00097839"/>
    <w:rsid w:val="00097C26"/>
    <w:rsid w:val="000A2A7C"/>
    <w:rsid w:val="000A3DB2"/>
    <w:rsid w:val="000A3E4A"/>
    <w:rsid w:val="000A42EF"/>
    <w:rsid w:val="000A5153"/>
    <w:rsid w:val="000B0060"/>
    <w:rsid w:val="000B2346"/>
    <w:rsid w:val="000B25A7"/>
    <w:rsid w:val="000B4C1B"/>
    <w:rsid w:val="000B6583"/>
    <w:rsid w:val="000B6D27"/>
    <w:rsid w:val="000B72C0"/>
    <w:rsid w:val="000B7A64"/>
    <w:rsid w:val="000C1137"/>
    <w:rsid w:val="000C1A90"/>
    <w:rsid w:val="000C2652"/>
    <w:rsid w:val="000C29F2"/>
    <w:rsid w:val="000C2CED"/>
    <w:rsid w:val="000C309F"/>
    <w:rsid w:val="000C31FD"/>
    <w:rsid w:val="000C3EF9"/>
    <w:rsid w:val="000C5BCD"/>
    <w:rsid w:val="000C6202"/>
    <w:rsid w:val="000C6C6A"/>
    <w:rsid w:val="000C718A"/>
    <w:rsid w:val="000D023B"/>
    <w:rsid w:val="000D10F8"/>
    <w:rsid w:val="000D19F5"/>
    <w:rsid w:val="000D2C5C"/>
    <w:rsid w:val="000D3243"/>
    <w:rsid w:val="000D38A5"/>
    <w:rsid w:val="000D4471"/>
    <w:rsid w:val="000D494A"/>
    <w:rsid w:val="000D4BCF"/>
    <w:rsid w:val="000D4C5D"/>
    <w:rsid w:val="000D4FD6"/>
    <w:rsid w:val="000D5060"/>
    <w:rsid w:val="000D6EF6"/>
    <w:rsid w:val="000D7B62"/>
    <w:rsid w:val="000E0B36"/>
    <w:rsid w:val="000E3552"/>
    <w:rsid w:val="000E3743"/>
    <w:rsid w:val="000E4648"/>
    <w:rsid w:val="000E4784"/>
    <w:rsid w:val="000E682C"/>
    <w:rsid w:val="000F00B5"/>
    <w:rsid w:val="000F0B06"/>
    <w:rsid w:val="000F0D7F"/>
    <w:rsid w:val="000F18B6"/>
    <w:rsid w:val="000F1B0D"/>
    <w:rsid w:val="000F44F6"/>
    <w:rsid w:val="000F4F2B"/>
    <w:rsid w:val="000F53BC"/>
    <w:rsid w:val="000F5C47"/>
    <w:rsid w:val="000F62BD"/>
    <w:rsid w:val="000F6B84"/>
    <w:rsid w:val="000F706C"/>
    <w:rsid w:val="0010063C"/>
    <w:rsid w:val="00100D51"/>
    <w:rsid w:val="001014AC"/>
    <w:rsid w:val="00101EF7"/>
    <w:rsid w:val="00102EA2"/>
    <w:rsid w:val="00102EB6"/>
    <w:rsid w:val="00104442"/>
    <w:rsid w:val="00104F76"/>
    <w:rsid w:val="001050B6"/>
    <w:rsid w:val="001063A1"/>
    <w:rsid w:val="00107655"/>
    <w:rsid w:val="00107D46"/>
    <w:rsid w:val="00107E10"/>
    <w:rsid w:val="001103C5"/>
    <w:rsid w:val="001131AA"/>
    <w:rsid w:val="0011412C"/>
    <w:rsid w:val="00115733"/>
    <w:rsid w:val="00116DB2"/>
    <w:rsid w:val="0011758A"/>
    <w:rsid w:val="00121E09"/>
    <w:rsid w:val="00122314"/>
    <w:rsid w:val="0012248A"/>
    <w:rsid w:val="001226A9"/>
    <w:rsid w:val="00122843"/>
    <w:rsid w:val="00123096"/>
    <w:rsid w:val="00124D5F"/>
    <w:rsid w:val="00126D74"/>
    <w:rsid w:val="001275FF"/>
    <w:rsid w:val="00127C13"/>
    <w:rsid w:val="001318E2"/>
    <w:rsid w:val="001322AC"/>
    <w:rsid w:val="00132A8D"/>
    <w:rsid w:val="0013344F"/>
    <w:rsid w:val="0013486F"/>
    <w:rsid w:val="00134A15"/>
    <w:rsid w:val="00134B64"/>
    <w:rsid w:val="0013710E"/>
    <w:rsid w:val="0013717A"/>
    <w:rsid w:val="00137E92"/>
    <w:rsid w:val="00140127"/>
    <w:rsid w:val="00140687"/>
    <w:rsid w:val="00140CA5"/>
    <w:rsid w:val="001411D9"/>
    <w:rsid w:val="00141C8A"/>
    <w:rsid w:val="0014281F"/>
    <w:rsid w:val="0014325C"/>
    <w:rsid w:val="00143AFB"/>
    <w:rsid w:val="00144374"/>
    <w:rsid w:val="001448B8"/>
    <w:rsid w:val="001448C3"/>
    <w:rsid w:val="00144DFD"/>
    <w:rsid w:val="00145587"/>
    <w:rsid w:val="0014630F"/>
    <w:rsid w:val="00147ECA"/>
    <w:rsid w:val="0015022D"/>
    <w:rsid w:val="00150265"/>
    <w:rsid w:val="00150715"/>
    <w:rsid w:val="00150C2F"/>
    <w:rsid w:val="00152DD8"/>
    <w:rsid w:val="0015360C"/>
    <w:rsid w:val="001549FC"/>
    <w:rsid w:val="00156088"/>
    <w:rsid w:val="00156E0F"/>
    <w:rsid w:val="00156F33"/>
    <w:rsid w:val="0016152D"/>
    <w:rsid w:val="00163796"/>
    <w:rsid w:val="00163A9E"/>
    <w:rsid w:val="00164BF0"/>
    <w:rsid w:val="00164FBD"/>
    <w:rsid w:val="0016544F"/>
    <w:rsid w:val="00166CE5"/>
    <w:rsid w:val="001704BC"/>
    <w:rsid w:val="00172FD8"/>
    <w:rsid w:val="0017304B"/>
    <w:rsid w:val="001747E8"/>
    <w:rsid w:val="0017610A"/>
    <w:rsid w:val="001769A1"/>
    <w:rsid w:val="001774D9"/>
    <w:rsid w:val="00177BBA"/>
    <w:rsid w:val="0018022A"/>
    <w:rsid w:val="001807AD"/>
    <w:rsid w:val="001808CD"/>
    <w:rsid w:val="00181551"/>
    <w:rsid w:val="00181769"/>
    <w:rsid w:val="00181C80"/>
    <w:rsid w:val="00184E94"/>
    <w:rsid w:val="001852C2"/>
    <w:rsid w:val="00186E26"/>
    <w:rsid w:val="001875BA"/>
    <w:rsid w:val="00187BAC"/>
    <w:rsid w:val="0019015E"/>
    <w:rsid w:val="001941E9"/>
    <w:rsid w:val="001942EF"/>
    <w:rsid w:val="00196396"/>
    <w:rsid w:val="00197645"/>
    <w:rsid w:val="00197A91"/>
    <w:rsid w:val="001A0225"/>
    <w:rsid w:val="001A0A55"/>
    <w:rsid w:val="001A1131"/>
    <w:rsid w:val="001A2697"/>
    <w:rsid w:val="001A295F"/>
    <w:rsid w:val="001A2997"/>
    <w:rsid w:val="001A2CA8"/>
    <w:rsid w:val="001A3CF0"/>
    <w:rsid w:val="001A3F94"/>
    <w:rsid w:val="001A50A6"/>
    <w:rsid w:val="001A75E3"/>
    <w:rsid w:val="001B205F"/>
    <w:rsid w:val="001B21A5"/>
    <w:rsid w:val="001B29CE"/>
    <w:rsid w:val="001B2D78"/>
    <w:rsid w:val="001B41C7"/>
    <w:rsid w:val="001B4801"/>
    <w:rsid w:val="001B54CF"/>
    <w:rsid w:val="001B5B71"/>
    <w:rsid w:val="001C07DC"/>
    <w:rsid w:val="001C165B"/>
    <w:rsid w:val="001C3B59"/>
    <w:rsid w:val="001C4948"/>
    <w:rsid w:val="001C53A7"/>
    <w:rsid w:val="001C5BB2"/>
    <w:rsid w:val="001C674C"/>
    <w:rsid w:val="001C6A8B"/>
    <w:rsid w:val="001D0F3E"/>
    <w:rsid w:val="001D1374"/>
    <w:rsid w:val="001D16A6"/>
    <w:rsid w:val="001D1C75"/>
    <w:rsid w:val="001D2B3B"/>
    <w:rsid w:val="001D2B40"/>
    <w:rsid w:val="001D3E4A"/>
    <w:rsid w:val="001D4393"/>
    <w:rsid w:val="001D43B6"/>
    <w:rsid w:val="001D43DD"/>
    <w:rsid w:val="001D483C"/>
    <w:rsid w:val="001D4A8A"/>
    <w:rsid w:val="001D4C81"/>
    <w:rsid w:val="001D4D96"/>
    <w:rsid w:val="001D643B"/>
    <w:rsid w:val="001D7C60"/>
    <w:rsid w:val="001E1733"/>
    <w:rsid w:val="001E1DBE"/>
    <w:rsid w:val="001E1E83"/>
    <w:rsid w:val="001E2E76"/>
    <w:rsid w:val="001E4FF8"/>
    <w:rsid w:val="001E6240"/>
    <w:rsid w:val="001E627F"/>
    <w:rsid w:val="001E67A2"/>
    <w:rsid w:val="001E6BFD"/>
    <w:rsid w:val="001F0D6A"/>
    <w:rsid w:val="001F0E08"/>
    <w:rsid w:val="001F2112"/>
    <w:rsid w:val="001F224E"/>
    <w:rsid w:val="001F3AB5"/>
    <w:rsid w:val="001F3F81"/>
    <w:rsid w:val="001F61AE"/>
    <w:rsid w:val="001F65A7"/>
    <w:rsid w:val="001F66CE"/>
    <w:rsid w:val="001F6721"/>
    <w:rsid w:val="001F6F23"/>
    <w:rsid w:val="00200FB1"/>
    <w:rsid w:val="002013E2"/>
    <w:rsid w:val="0020266B"/>
    <w:rsid w:val="00202C18"/>
    <w:rsid w:val="00205E38"/>
    <w:rsid w:val="0020681E"/>
    <w:rsid w:val="00207DF5"/>
    <w:rsid w:val="00207ECA"/>
    <w:rsid w:val="00211859"/>
    <w:rsid w:val="002125D3"/>
    <w:rsid w:val="00213250"/>
    <w:rsid w:val="0021503B"/>
    <w:rsid w:val="002152E2"/>
    <w:rsid w:val="002163EA"/>
    <w:rsid w:val="00217BA8"/>
    <w:rsid w:val="00217E9C"/>
    <w:rsid w:val="00221271"/>
    <w:rsid w:val="00224963"/>
    <w:rsid w:val="0022497E"/>
    <w:rsid w:val="00225423"/>
    <w:rsid w:val="00227580"/>
    <w:rsid w:val="00230935"/>
    <w:rsid w:val="0023157B"/>
    <w:rsid w:val="00232B75"/>
    <w:rsid w:val="00234E70"/>
    <w:rsid w:val="00235BD1"/>
    <w:rsid w:val="002363E3"/>
    <w:rsid w:val="0023737D"/>
    <w:rsid w:val="00237BE5"/>
    <w:rsid w:val="00240498"/>
    <w:rsid w:val="00240E47"/>
    <w:rsid w:val="002411D4"/>
    <w:rsid w:val="00241F5B"/>
    <w:rsid w:val="002429C7"/>
    <w:rsid w:val="00243DA1"/>
    <w:rsid w:val="00244ACF"/>
    <w:rsid w:val="00245628"/>
    <w:rsid w:val="00250A7B"/>
    <w:rsid w:val="00250FFC"/>
    <w:rsid w:val="00251628"/>
    <w:rsid w:val="00251AF8"/>
    <w:rsid w:val="00251BE5"/>
    <w:rsid w:val="00251CB3"/>
    <w:rsid w:val="00251FF7"/>
    <w:rsid w:val="00252E13"/>
    <w:rsid w:val="00252F39"/>
    <w:rsid w:val="00253766"/>
    <w:rsid w:val="00253E39"/>
    <w:rsid w:val="00254341"/>
    <w:rsid w:val="00254AC5"/>
    <w:rsid w:val="0025583B"/>
    <w:rsid w:val="002559BA"/>
    <w:rsid w:val="00255EA5"/>
    <w:rsid w:val="002560BD"/>
    <w:rsid w:val="002560D5"/>
    <w:rsid w:val="002570A9"/>
    <w:rsid w:val="002578A3"/>
    <w:rsid w:val="0026277A"/>
    <w:rsid w:val="00262D14"/>
    <w:rsid w:val="002643DE"/>
    <w:rsid w:val="00264EE5"/>
    <w:rsid w:val="002655F6"/>
    <w:rsid w:val="00266E05"/>
    <w:rsid w:val="00266ED8"/>
    <w:rsid w:val="002672DC"/>
    <w:rsid w:val="002672E2"/>
    <w:rsid w:val="00270262"/>
    <w:rsid w:val="002717F2"/>
    <w:rsid w:val="00271827"/>
    <w:rsid w:val="00271FE8"/>
    <w:rsid w:val="00272011"/>
    <w:rsid w:val="00273995"/>
    <w:rsid w:val="00274C2D"/>
    <w:rsid w:val="0027587A"/>
    <w:rsid w:val="0027590D"/>
    <w:rsid w:val="00275DAF"/>
    <w:rsid w:val="0027684B"/>
    <w:rsid w:val="00276AFD"/>
    <w:rsid w:val="002773DE"/>
    <w:rsid w:val="0028017B"/>
    <w:rsid w:val="002835F4"/>
    <w:rsid w:val="00283DA3"/>
    <w:rsid w:val="002841A0"/>
    <w:rsid w:val="00284D2C"/>
    <w:rsid w:val="002862FC"/>
    <w:rsid w:val="002917E1"/>
    <w:rsid w:val="0029270C"/>
    <w:rsid w:val="0029273F"/>
    <w:rsid w:val="0029306D"/>
    <w:rsid w:val="00295264"/>
    <w:rsid w:val="0029546F"/>
    <w:rsid w:val="00295FE7"/>
    <w:rsid w:val="00296B00"/>
    <w:rsid w:val="00297535"/>
    <w:rsid w:val="00297D01"/>
    <w:rsid w:val="00297D7F"/>
    <w:rsid w:val="002A08A0"/>
    <w:rsid w:val="002A1406"/>
    <w:rsid w:val="002A1C13"/>
    <w:rsid w:val="002A2B08"/>
    <w:rsid w:val="002A4144"/>
    <w:rsid w:val="002A49FC"/>
    <w:rsid w:val="002A55AF"/>
    <w:rsid w:val="002A5658"/>
    <w:rsid w:val="002A5D26"/>
    <w:rsid w:val="002A6AEF"/>
    <w:rsid w:val="002A7AC8"/>
    <w:rsid w:val="002B0B91"/>
    <w:rsid w:val="002B1E94"/>
    <w:rsid w:val="002B2D9B"/>
    <w:rsid w:val="002B3454"/>
    <w:rsid w:val="002B3799"/>
    <w:rsid w:val="002B3F2E"/>
    <w:rsid w:val="002B45F6"/>
    <w:rsid w:val="002B495D"/>
    <w:rsid w:val="002B64CD"/>
    <w:rsid w:val="002B65F3"/>
    <w:rsid w:val="002B6D11"/>
    <w:rsid w:val="002B7F8C"/>
    <w:rsid w:val="002C391D"/>
    <w:rsid w:val="002C4938"/>
    <w:rsid w:val="002C5029"/>
    <w:rsid w:val="002C611E"/>
    <w:rsid w:val="002C7452"/>
    <w:rsid w:val="002D0145"/>
    <w:rsid w:val="002D12BC"/>
    <w:rsid w:val="002D34E6"/>
    <w:rsid w:val="002D42B0"/>
    <w:rsid w:val="002D474A"/>
    <w:rsid w:val="002D4F12"/>
    <w:rsid w:val="002D544F"/>
    <w:rsid w:val="002D5CC4"/>
    <w:rsid w:val="002D6A53"/>
    <w:rsid w:val="002E0490"/>
    <w:rsid w:val="002E3369"/>
    <w:rsid w:val="002E426E"/>
    <w:rsid w:val="002E4947"/>
    <w:rsid w:val="002E5850"/>
    <w:rsid w:val="002E5891"/>
    <w:rsid w:val="002E6310"/>
    <w:rsid w:val="002E7D9F"/>
    <w:rsid w:val="002F0583"/>
    <w:rsid w:val="002F096A"/>
    <w:rsid w:val="002F0E69"/>
    <w:rsid w:val="002F4582"/>
    <w:rsid w:val="002F4593"/>
    <w:rsid w:val="002F47FA"/>
    <w:rsid w:val="002F58C1"/>
    <w:rsid w:val="002F5C3B"/>
    <w:rsid w:val="002F67D1"/>
    <w:rsid w:val="00300277"/>
    <w:rsid w:val="00303882"/>
    <w:rsid w:val="00304A01"/>
    <w:rsid w:val="00304FFA"/>
    <w:rsid w:val="00305799"/>
    <w:rsid w:val="00307EE2"/>
    <w:rsid w:val="003103C2"/>
    <w:rsid w:val="00310B5D"/>
    <w:rsid w:val="00311212"/>
    <w:rsid w:val="0031164B"/>
    <w:rsid w:val="00311ED9"/>
    <w:rsid w:val="00313119"/>
    <w:rsid w:val="00314BDD"/>
    <w:rsid w:val="00315899"/>
    <w:rsid w:val="003164E8"/>
    <w:rsid w:val="00321B0C"/>
    <w:rsid w:val="00323E92"/>
    <w:rsid w:val="0032511B"/>
    <w:rsid w:val="00325CB7"/>
    <w:rsid w:val="00331359"/>
    <w:rsid w:val="003333B7"/>
    <w:rsid w:val="00333DDE"/>
    <w:rsid w:val="00335119"/>
    <w:rsid w:val="0033652F"/>
    <w:rsid w:val="003365F9"/>
    <w:rsid w:val="00337064"/>
    <w:rsid w:val="00337FE2"/>
    <w:rsid w:val="003401B1"/>
    <w:rsid w:val="003408EF"/>
    <w:rsid w:val="003414EC"/>
    <w:rsid w:val="003416B8"/>
    <w:rsid w:val="003422BD"/>
    <w:rsid w:val="003428AF"/>
    <w:rsid w:val="0034324B"/>
    <w:rsid w:val="00343EB4"/>
    <w:rsid w:val="00343EB8"/>
    <w:rsid w:val="003441B5"/>
    <w:rsid w:val="003447D5"/>
    <w:rsid w:val="00344BFD"/>
    <w:rsid w:val="00346713"/>
    <w:rsid w:val="00346923"/>
    <w:rsid w:val="00346A80"/>
    <w:rsid w:val="00347E2A"/>
    <w:rsid w:val="00350759"/>
    <w:rsid w:val="00350E24"/>
    <w:rsid w:val="00352036"/>
    <w:rsid w:val="00355AD7"/>
    <w:rsid w:val="00356419"/>
    <w:rsid w:val="00356481"/>
    <w:rsid w:val="00361749"/>
    <w:rsid w:val="00361C85"/>
    <w:rsid w:val="00362924"/>
    <w:rsid w:val="00362CE0"/>
    <w:rsid w:val="003668C3"/>
    <w:rsid w:val="003672F6"/>
    <w:rsid w:val="00370780"/>
    <w:rsid w:val="00370EEB"/>
    <w:rsid w:val="00373A23"/>
    <w:rsid w:val="00376306"/>
    <w:rsid w:val="00376AFC"/>
    <w:rsid w:val="00382EB8"/>
    <w:rsid w:val="00383169"/>
    <w:rsid w:val="003849E3"/>
    <w:rsid w:val="00386F91"/>
    <w:rsid w:val="00390919"/>
    <w:rsid w:val="003909B1"/>
    <w:rsid w:val="00390F82"/>
    <w:rsid w:val="00391AA8"/>
    <w:rsid w:val="00391D66"/>
    <w:rsid w:val="0039565C"/>
    <w:rsid w:val="003A02A9"/>
    <w:rsid w:val="003A0E06"/>
    <w:rsid w:val="003A1098"/>
    <w:rsid w:val="003A1F4E"/>
    <w:rsid w:val="003A3E92"/>
    <w:rsid w:val="003A44EB"/>
    <w:rsid w:val="003A6F31"/>
    <w:rsid w:val="003A6F8D"/>
    <w:rsid w:val="003A7280"/>
    <w:rsid w:val="003A739E"/>
    <w:rsid w:val="003A7DEB"/>
    <w:rsid w:val="003B04FE"/>
    <w:rsid w:val="003B0ADA"/>
    <w:rsid w:val="003B3B68"/>
    <w:rsid w:val="003B3E59"/>
    <w:rsid w:val="003B4939"/>
    <w:rsid w:val="003B4F68"/>
    <w:rsid w:val="003B553B"/>
    <w:rsid w:val="003B7CD0"/>
    <w:rsid w:val="003C2186"/>
    <w:rsid w:val="003C2FB9"/>
    <w:rsid w:val="003C41AA"/>
    <w:rsid w:val="003C55C6"/>
    <w:rsid w:val="003C70AC"/>
    <w:rsid w:val="003C70E5"/>
    <w:rsid w:val="003D002B"/>
    <w:rsid w:val="003D1FB6"/>
    <w:rsid w:val="003D26D6"/>
    <w:rsid w:val="003D2B53"/>
    <w:rsid w:val="003D33B1"/>
    <w:rsid w:val="003D43FC"/>
    <w:rsid w:val="003D6BEF"/>
    <w:rsid w:val="003D7287"/>
    <w:rsid w:val="003D79E6"/>
    <w:rsid w:val="003E0355"/>
    <w:rsid w:val="003E0A77"/>
    <w:rsid w:val="003E11C1"/>
    <w:rsid w:val="003E201A"/>
    <w:rsid w:val="003E4999"/>
    <w:rsid w:val="003E4F15"/>
    <w:rsid w:val="003E7432"/>
    <w:rsid w:val="003F00AD"/>
    <w:rsid w:val="003F02D8"/>
    <w:rsid w:val="003F0866"/>
    <w:rsid w:val="003F0F5F"/>
    <w:rsid w:val="003F2A30"/>
    <w:rsid w:val="003F4176"/>
    <w:rsid w:val="003F41BA"/>
    <w:rsid w:val="003F615C"/>
    <w:rsid w:val="003F73D3"/>
    <w:rsid w:val="004004E1"/>
    <w:rsid w:val="0040078F"/>
    <w:rsid w:val="00401DB3"/>
    <w:rsid w:val="0040312E"/>
    <w:rsid w:val="0040343A"/>
    <w:rsid w:val="004035B8"/>
    <w:rsid w:val="00406153"/>
    <w:rsid w:val="0040634B"/>
    <w:rsid w:val="0040667D"/>
    <w:rsid w:val="00411D2B"/>
    <w:rsid w:val="004129B0"/>
    <w:rsid w:val="00413430"/>
    <w:rsid w:val="00414162"/>
    <w:rsid w:val="004147AC"/>
    <w:rsid w:val="004151DC"/>
    <w:rsid w:val="00415792"/>
    <w:rsid w:val="00416DC7"/>
    <w:rsid w:val="00417661"/>
    <w:rsid w:val="004179E2"/>
    <w:rsid w:val="0042013B"/>
    <w:rsid w:val="00420B5F"/>
    <w:rsid w:val="00421DE5"/>
    <w:rsid w:val="004224EA"/>
    <w:rsid w:val="00422685"/>
    <w:rsid w:val="0042341E"/>
    <w:rsid w:val="00423B77"/>
    <w:rsid w:val="0042437D"/>
    <w:rsid w:val="00425301"/>
    <w:rsid w:val="00425379"/>
    <w:rsid w:val="00425732"/>
    <w:rsid w:val="0042665D"/>
    <w:rsid w:val="00427A79"/>
    <w:rsid w:val="00427DB4"/>
    <w:rsid w:val="00431D69"/>
    <w:rsid w:val="00432FEC"/>
    <w:rsid w:val="0043338D"/>
    <w:rsid w:val="004337DE"/>
    <w:rsid w:val="00434854"/>
    <w:rsid w:val="00435D3A"/>
    <w:rsid w:val="00437C65"/>
    <w:rsid w:val="0044026D"/>
    <w:rsid w:val="004404E0"/>
    <w:rsid w:val="00440F3A"/>
    <w:rsid w:val="00441725"/>
    <w:rsid w:val="0044243C"/>
    <w:rsid w:val="004444AE"/>
    <w:rsid w:val="00445537"/>
    <w:rsid w:val="004456FE"/>
    <w:rsid w:val="004476BE"/>
    <w:rsid w:val="00450314"/>
    <w:rsid w:val="00450EC5"/>
    <w:rsid w:val="00453A93"/>
    <w:rsid w:val="00454087"/>
    <w:rsid w:val="00454F35"/>
    <w:rsid w:val="00455A35"/>
    <w:rsid w:val="0045724A"/>
    <w:rsid w:val="00460D83"/>
    <w:rsid w:val="00463FB0"/>
    <w:rsid w:val="004657C1"/>
    <w:rsid w:val="00465AB7"/>
    <w:rsid w:val="00466AF1"/>
    <w:rsid w:val="00466C90"/>
    <w:rsid w:val="00471827"/>
    <w:rsid w:val="004725A1"/>
    <w:rsid w:val="0047430B"/>
    <w:rsid w:val="004759AF"/>
    <w:rsid w:val="00475C0B"/>
    <w:rsid w:val="0047633A"/>
    <w:rsid w:val="004763BD"/>
    <w:rsid w:val="004773E4"/>
    <w:rsid w:val="0047790C"/>
    <w:rsid w:val="00480C3A"/>
    <w:rsid w:val="004851E3"/>
    <w:rsid w:val="00485616"/>
    <w:rsid w:val="004867C1"/>
    <w:rsid w:val="00486AC3"/>
    <w:rsid w:val="00490723"/>
    <w:rsid w:val="004918C6"/>
    <w:rsid w:val="00492419"/>
    <w:rsid w:val="00492AAE"/>
    <w:rsid w:val="0049457B"/>
    <w:rsid w:val="00495C66"/>
    <w:rsid w:val="00496A41"/>
    <w:rsid w:val="00496FD6"/>
    <w:rsid w:val="004970D7"/>
    <w:rsid w:val="004971C3"/>
    <w:rsid w:val="00497288"/>
    <w:rsid w:val="004A29AD"/>
    <w:rsid w:val="004A4AF5"/>
    <w:rsid w:val="004A5320"/>
    <w:rsid w:val="004A56A8"/>
    <w:rsid w:val="004A5F8A"/>
    <w:rsid w:val="004A7382"/>
    <w:rsid w:val="004A7B71"/>
    <w:rsid w:val="004B0F94"/>
    <w:rsid w:val="004B175D"/>
    <w:rsid w:val="004B3BC8"/>
    <w:rsid w:val="004B3E0F"/>
    <w:rsid w:val="004B5279"/>
    <w:rsid w:val="004B5D3B"/>
    <w:rsid w:val="004B7362"/>
    <w:rsid w:val="004C0B16"/>
    <w:rsid w:val="004C0E16"/>
    <w:rsid w:val="004C1186"/>
    <w:rsid w:val="004C1447"/>
    <w:rsid w:val="004C1DC2"/>
    <w:rsid w:val="004C2A3D"/>
    <w:rsid w:val="004C2D66"/>
    <w:rsid w:val="004C39B8"/>
    <w:rsid w:val="004C3A16"/>
    <w:rsid w:val="004C5C0A"/>
    <w:rsid w:val="004C72ED"/>
    <w:rsid w:val="004D05C0"/>
    <w:rsid w:val="004D2F20"/>
    <w:rsid w:val="004D3811"/>
    <w:rsid w:val="004D45AC"/>
    <w:rsid w:val="004D45B1"/>
    <w:rsid w:val="004D4E81"/>
    <w:rsid w:val="004E059E"/>
    <w:rsid w:val="004E0662"/>
    <w:rsid w:val="004E186A"/>
    <w:rsid w:val="004E2304"/>
    <w:rsid w:val="004E25CF"/>
    <w:rsid w:val="004E2EE9"/>
    <w:rsid w:val="004E2F2C"/>
    <w:rsid w:val="004E455A"/>
    <w:rsid w:val="004E4B89"/>
    <w:rsid w:val="004E5E20"/>
    <w:rsid w:val="004E78FE"/>
    <w:rsid w:val="004E7A9D"/>
    <w:rsid w:val="004F0FA2"/>
    <w:rsid w:val="004F1166"/>
    <w:rsid w:val="004F2512"/>
    <w:rsid w:val="004F46D5"/>
    <w:rsid w:val="004F4A26"/>
    <w:rsid w:val="004F4F9F"/>
    <w:rsid w:val="004F5265"/>
    <w:rsid w:val="004F5F36"/>
    <w:rsid w:val="004F675E"/>
    <w:rsid w:val="004F6F62"/>
    <w:rsid w:val="004F773D"/>
    <w:rsid w:val="004F7F98"/>
    <w:rsid w:val="0050027B"/>
    <w:rsid w:val="00500DDD"/>
    <w:rsid w:val="00501639"/>
    <w:rsid w:val="005019AD"/>
    <w:rsid w:val="00501CE5"/>
    <w:rsid w:val="005025C3"/>
    <w:rsid w:val="00504011"/>
    <w:rsid w:val="00504855"/>
    <w:rsid w:val="00504BF0"/>
    <w:rsid w:val="005054EE"/>
    <w:rsid w:val="0050648E"/>
    <w:rsid w:val="00506D07"/>
    <w:rsid w:val="005072DE"/>
    <w:rsid w:val="00507590"/>
    <w:rsid w:val="005116A4"/>
    <w:rsid w:val="0051183B"/>
    <w:rsid w:val="00512548"/>
    <w:rsid w:val="00512889"/>
    <w:rsid w:val="00513AA4"/>
    <w:rsid w:val="005140E8"/>
    <w:rsid w:val="00514568"/>
    <w:rsid w:val="00514BB1"/>
    <w:rsid w:val="00514E80"/>
    <w:rsid w:val="00515AB3"/>
    <w:rsid w:val="00517E0A"/>
    <w:rsid w:val="005216D1"/>
    <w:rsid w:val="00522284"/>
    <w:rsid w:val="005224E2"/>
    <w:rsid w:val="00522741"/>
    <w:rsid w:val="00523372"/>
    <w:rsid w:val="0052407F"/>
    <w:rsid w:val="00524926"/>
    <w:rsid w:val="00524E1C"/>
    <w:rsid w:val="00525EEA"/>
    <w:rsid w:val="00527601"/>
    <w:rsid w:val="0052793A"/>
    <w:rsid w:val="005301E1"/>
    <w:rsid w:val="005302DC"/>
    <w:rsid w:val="00530C38"/>
    <w:rsid w:val="00531DF5"/>
    <w:rsid w:val="00532E27"/>
    <w:rsid w:val="00533BA6"/>
    <w:rsid w:val="0053418C"/>
    <w:rsid w:val="00534832"/>
    <w:rsid w:val="00536382"/>
    <w:rsid w:val="005363E5"/>
    <w:rsid w:val="005369F2"/>
    <w:rsid w:val="005375C0"/>
    <w:rsid w:val="005378EB"/>
    <w:rsid w:val="00537F4C"/>
    <w:rsid w:val="00537FFD"/>
    <w:rsid w:val="00540CF0"/>
    <w:rsid w:val="00541CA8"/>
    <w:rsid w:val="005420D8"/>
    <w:rsid w:val="00543B74"/>
    <w:rsid w:val="0054487E"/>
    <w:rsid w:val="00544B4A"/>
    <w:rsid w:val="0054515F"/>
    <w:rsid w:val="0054556B"/>
    <w:rsid w:val="0054755C"/>
    <w:rsid w:val="00551A1C"/>
    <w:rsid w:val="00552323"/>
    <w:rsid w:val="00553677"/>
    <w:rsid w:val="0055385D"/>
    <w:rsid w:val="005546D3"/>
    <w:rsid w:val="0055583D"/>
    <w:rsid w:val="00555CBF"/>
    <w:rsid w:val="00556E18"/>
    <w:rsid w:val="005579D1"/>
    <w:rsid w:val="00557EF9"/>
    <w:rsid w:val="00560746"/>
    <w:rsid w:val="00560890"/>
    <w:rsid w:val="00561DDD"/>
    <w:rsid w:val="00562122"/>
    <w:rsid w:val="00563555"/>
    <w:rsid w:val="005637C0"/>
    <w:rsid w:val="00564278"/>
    <w:rsid w:val="005648D8"/>
    <w:rsid w:val="005650C5"/>
    <w:rsid w:val="00565D1D"/>
    <w:rsid w:val="00566F4C"/>
    <w:rsid w:val="00567FC4"/>
    <w:rsid w:val="00570241"/>
    <w:rsid w:val="00570263"/>
    <w:rsid w:val="00570313"/>
    <w:rsid w:val="00571B3A"/>
    <w:rsid w:val="005727E1"/>
    <w:rsid w:val="00572CA8"/>
    <w:rsid w:val="00573B7F"/>
    <w:rsid w:val="00574EBE"/>
    <w:rsid w:val="00575C1B"/>
    <w:rsid w:val="00577F3A"/>
    <w:rsid w:val="0058156F"/>
    <w:rsid w:val="0058380C"/>
    <w:rsid w:val="0058382F"/>
    <w:rsid w:val="0058391D"/>
    <w:rsid w:val="0058714E"/>
    <w:rsid w:val="005877C4"/>
    <w:rsid w:val="00590843"/>
    <w:rsid w:val="005913AA"/>
    <w:rsid w:val="005931C0"/>
    <w:rsid w:val="00593A09"/>
    <w:rsid w:val="00593B48"/>
    <w:rsid w:val="00594832"/>
    <w:rsid w:val="005949BB"/>
    <w:rsid w:val="00594C76"/>
    <w:rsid w:val="00594D06"/>
    <w:rsid w:val="00595403"/>
    <w:rsid w:val="00595B55"/>
    <w:rsid w:val="0059616E"/>
    <w:rsid w:val="005965A4"/>
    <w:rsid w:val="00596A24"/>
    <w:rsid w:val="005A00A5"/>
    <w:rsid w:val="005A044C"/>
    <w:rsid w:val="005A05DD"/>
    <w:rsid w:val="005A09F0"/>
    <w:rsid w:val="005A12D5"/>
    <w:rsid w:val="005A3B93"/>
    <w:rsid w:val="005A4827"/>
    <w:rsid w:val="005A624C"/>
    <w:rsid w:val="005A67DB"/>
    <w:rsid w:val="005A6846"/>
    <w:rsid w:val="005A7E8A"/>
    <w:rsid w:val="005B0253"/>
    <w:rsid w:val="005B1F20"/>
    <w:rsid w:val="005B3832"/>
    <w:rsid w:val="005B3FDA"/>
    <w:rsid w:val="005B452A"/>
    <w:rsid w:val="005B4A21"/>
    <w:rsid w:val="005B5D6E"/>
    <w:rsid w:val="005B63FE"/>
    <w:rsid w:val="005C07F6"/>
    <w:rsid w:val="005C2600"/>
    <w:rsid w:val="005C283A"/>
    <w:rsid w:val="005C28FA"/>
    <w:rsid w:val="005C2AB8"/>
    <w:rsid w:val="005C3ADD"/>
    <w:rsid w:val="005C53F5"/>
    <w:rsid w:val="005C58DE"/>
    <w:rsid w:val="005C637E"/>
    <w:rsid w:val="005C63B5"/>
    <w:rsid w:val="005C650E"/>
    <w:rsid w:val="005C774E"/>
    <w:rsid w:val="005C7F29"/>
    <w:rsid w:val="005D0240"/>
    <w:rsid w:val="005D1478"/>
    <w:rsid w:val="005D24C0"/>
    <w:rsid w:val="005D3B21"/>
    <w:rsid w:val="005D40E6"/>
    <w:rsid w:val="005D657A"/>
    <w:rsid w:val="005D6C5D"/>
    <w:rsid w:val="005D7475"/>
    <w:rsid w:val="005D74B3"/>
    <w:rsid w:val="005D7696"/>
    <w:rsid w:val="005E0B3A"/>
    <w:rsid w:val="005E0D85"/>
    <w:rsid w:val="005E0EC1"/>
    <w:rsid w:val="005E1928"/>
    <w:rsid w:val="005E1E75"/>
    <w:rsid w:val="005E207D"/>
    <w:rsid w:val="005E3240"/>
    <w:rsid w:val="005E366E"/>
    <w:rsid w:val="005E3D41"/>
    <w:rsid w:val="005E40D7"/>
    <w:rsid w:val="005E4442"/>
    <w:rsid w:val="005E7CBF"/>
    <w:rsid w:val="005F066D"/>
    <w:rsid w:val="005F09ED"/>
    <w:rsid w:val="005F1FD1"/>
    <w:rsid w:val="005F2689"/>
    <w:rsid w:val="005F2A29"/>
    <w:rsid w:val="005F3D93"/>
    <w:rsid w:val="005F4B0E"/>
    <w:rsid w:val="005F5797"/>
    <w:rsid w:val="005F634C"/>
    <w:rsid w:val="005F6CB2"/>
    <w:rsid w:val="005F733C"/>
    <w:rsid w:val="005F7EE5"/>
    <w:rsid w:val="00600299"/>
    <w:rsid w:val="00603363"/>
    <w:rsid w:val="006036BE"/>
    <w:rsid w:val="0060395C"/>
    <w:rsid w:val="006058FB"/>
    <w:rsid w:val="006069DF"/>
    <w:rsid w:val="0060729D"/>
    <w:rsid w:val="006075A2"/>
    <w:rsid w:val="00607613"/>
    <w:rsid w:val="00607CD9"/>
    <w:rsid w:val="00610B10"/>
    <w:rsid w:val="00610B42"/>
    <w:rsid w:val="006120DC"/>
    <w:rsid w:val="00612D75"/>
    <w:rsid w:val="00613319"/>
    <w:rsid w:val="006157C3"/>
    <w:rsid w:val="006158F7"/>
    <w:rsid w:val="00615E7D"/>
    <w:rsid w:val="00616F6A"/>
    <w:rsid w:val="0061701D"/>
    <w:rsid w:val="00617026"/>
    <w:rsid w:val="00617121"/>
    <w:rsid w:val="00617F48"/>
    <w:rsid w:val="0062041B"/>
    <w:rsid w:val="00620C76"/>
    <w:rsid w:val="00620F92"/>
    <w:rsid w:val="00624097"/>
    <w:rsid w:val="006262B6"/>
    <w:rsid w:val="0062641D"/>
    <w:rsid w:val="00627085"/>
    <w:rsid w:val="0062783C"/>
    <w:rsid w:val="00632B22"/>
    <w:rsid w:val="00633145"/>
    <w:rsid w:val="0063337C"/>
    <w:rsid w:val="00634BCA"/>
    <w:rsid w:val="006357F1"/>
    <w:rsid w:val="00636DEB"/>
    <w:rsid w:val="00636FD6"/>
    <w:rsid w:val="00640A54"/>
    <w:rsid w:val="0064204C"/>
    <w:rsid w:val="00643E43"/>
    <w:rsid w:val="00644E3A"/>
    <w:rsid w:val="00645816"/>
    <w:rsid w:val="006458E8"/>
    <w:rsid w:val="006459B3"/>
    <w:rsid w:val="00645AB3"/>
    <w:rsid w:val="006460DA"/>
    <w:rsid w:val="00647786"/>
    <w:rsid w:val="006479DF"/>
    <w:rsid w:val="00651B90"/>
    <w:rsid w:val="00651D6F"/>
    <w:rsid w:val="00653C2D"/>
    <w:rsid w:val="00655192"/>
    <w:rsid w:val="0065584F"/>
    <w:rsid w:val="00655CD5"/>
    <w:rsid w:val="0065603B"/>
    <w:rsid w:val="00656542"/>
    <w:rsid w:val="006574C7"/>
    <w:rsid w:val="00660F2C"/>
    <w:rsid w:val="00661F92"/>
    <w:rsid w:val="0066421E"/>
    <w:rsid w:val="00664463"/>
    <w:rsid w:val="006666E7"/>
    <w:rsid w:val="00666CC8"/>
    <w:rsid w:val="00667C31"/>
    <w:rsid w:val="00670A20"/>
    <w:rsid w:val="00671211"/>
    <w:rsid w:val="00674333"/>
    <w:rsid w:val="00675219"/>
    <w:rsid w:val="00676FE9"/>
    <w:rsid w:val="00677FB2"/>
    <w:rsid w:val="0068237C"/>
    <w:rsid w:val="0068314C"/>
    <w:rsid w:val="0068377C"/>
    <w:rsid w:val="0068387E"/>
    <w:rsid w:val="00683EC1"/>
    <w:rsid w:val="00684F52"/>
    <w:rsid w:val="00686456"/>
    <w:rsid w:val="0068711D"/>
    <w:rsid w:val="00690101"/>
    <w:rsid w:val="00690DBC"/>
    <w:rsid w:val="00691E52"/>
    <w:rsid w:val="00692163"/>
    <w:rsid w:val="0069315F"/>
    <w:rsid w:val="006933DD"/>
    <w:rsid w:val="0069588E"/>
    <w:rsid w:val="0069602F"/>
    <w:rsid w:val="006A0757"/>
    <w:rsid w:val="006A0AC0"/>
    <w:rsid w:val="006A0E04"/>
    <w:rsid w:val="006A1234"/>
    <w:rsid w:val="006A1C43"/>
    <w:rsid w:val="006A5C7E"/>
    <w:rsid w:val="006A7D30"/>
    <w:rsid w:val="006B12C2"/>
    <w:rsid w:val="006B17E5"/>
    <w:rsid w:val="006B37CB"/>
    <w:rsid w:val="006B3B9A"/>
    <w:rsid w:val="006B4C73"/>
    <w:rsid w:val="006B5AC8"/>
    <w:rsid w:val="006B69C9"/>
    <w:rsid w:val="006B70C1"/>
    <w:rsid w:val="006C219C"/>
    <w:rsid w:val="006C2ADA"/>
    <w:rsid w:val="006C4A5E"/>
    <w:rsid w:val="006C5D61"/>
    <w:rsid w:val="006C6802"/>
    <w:rsid w:val="006C6E51"/>
    <w:rsid w:val="006D0A4C"/>
    <w:rsid w:val="006D1229"/>
    <w:rsid w:val="006D183A"/>
    <w:rsid w:val="006D1CC0"/>
    <w:rsid w:val="006D1DDC"/>
    <w:rsid w:val="006D396F"/>
    <w:rsid w:val="006D3B13"/>
    <w:rsid w:val="006D602E"/>
    <w:rsid w:val="006D6512"/>
    <w:rsid w:val="006D65C4"/>
    <w:rsid w:val="006E0200"/>
    <w:rsid w:val="006E0660"/>
    <w:rsid w:val="006E0A3F"/>
    <w:rsid w:val="006E1AB0"/>
    <w:rsid w:val="006E2A21"/>
    <w:rsid w:val="006E46A5"/>
    <w:rsid w:val="006E5713"/>
    <w:rsid w:val="006E697A"/>
    <w:rsid w:val="006E6C1C"/>
    <w:rsid w:val="006E70E1"/>
    <w:rsid w:val="006E7352"/>
    <w:rsid w:val="006F01AE"/>
    <w:rsid w:val="006F0850"/>
    <w:rsid w:val="006F1A1D"/>
    <w:rsid w:val="006F1BDF"/>
    <w:rsid w:val="006F2175"/>
    <w:rsid w:val="006F256F"/>
    <w:rsid w:val="006F2663"/>
    <w:rsid w:val="006F35E5"/>
    <w:rsid w:val="006F39C9"/>
    <w:rsid w:val="006F3D2A"/>
    <w:rsid w:val="00700547"/>
    <w:rsid w:val="007010AF"/>
    <w:rsid w:val="007016C9"/>
    <w:rsid w:val="00701B6E"/>
    <w:rsid w:val="0070274E"/>
    <w:rsid w:val="00703324"/>
    <w:rsid w:val="00703FB3"/>
    <w:rsid w:val="00704180"/>
    <w:rsid w:val="007045A9"/>
    <w:rsid w:val="007056C2"/>
    <w:rsid w:val="00705757"/>
    <w:rsid w:val="00706D40"/>
    <w:rsid w:val="007071D8"/>
    <w:rsid w:val="00710F80"/>
    <w:rsid w:val="00711A74"/>
    <w:rsid w:val="00711FB3"/>
    <w:rsid w:val="007129BE"/>
    <w:rsid w:val="00712E46"/>
    <w:rsid w:val="00712F72"/>
    <w:rsid w:val="007145A5"/>
    <w:rsid w:val="00714D25"/>
    <w:rsid w:val="00714E8E"/>
    <w:rsid w:val="007153A2"/>
    <w:rsid w:val="00715CA2"/>
    <w:rsid w:val="00716204"/>
    <w:rsid w:val="00717688"/>
    <w:rsid w:val="007217AF"/>
    <w:rsid w:val="007218A9"/>
    <w:rsid w:val="00721D23"/>
    <w:rsid w:val="007226EA"/>
    <w:rsid w:val="00722A8B"/>
    <w:rsid w:val="00723881"/>
    <w:rsid w:val="00725F8A"/>
    <w:rsid w:val="0072608D"/>
    <w:rsid w:val="00730F09"/>
    <w:rsid w:val="00731A76"/>
    <w:rsid w:val="00733221"/>
    <w:rsid w:val="00733431"/>
    <w:rsid w:val="00733521"/>
    <w:rsid w:val="00733EB3"/>
    <w:rsid w:val="00734491"/>
    <w:rsid w:val="00734654"/>
    <w:rsid w:val="00734E5E"/>
    <w:rsid w:val="007362DE"/>
    <w:rsid w:val="00736D18"/>
    <w:rsid w:val="00737E4A"/>
    <w:rsid w:val="00740A4A"/>
    <w:rsid w:val="0074106B"/>
    <w:rsid w:val="00741AE8"/>
    <w:rsid w:val="00742204"/>
    <w:rsid w:val="0074227F"/>
    <w:rsid w:val="0074443E"/>
    <w:rsid w:val="00744A8D"/>
    <w:rsid w:val="00745157"/>
    <w:rsid w:val="007452AC"/>
    <w:rsid w:val="007460D4"/>
    <w:rsid w:val="0074629E"/>
    <w:rsid w:val="007471DB"/>
    <w:rsid w:val="00750DCF"/>
    <w:rsid w:val="00750FED"/>
    <w:rsid w:val="007517FE"/>
    <w:rsid w:val="00752EE2"/>
    <w:rsid w:val="00752FD7"/>
    <w:rsid w:val="00753C1A"/>
    <w:rsid w:val="00754109"/>
    <w:rsid w:val="0075463A"/>
    <w:rsid w:val="00755E91"/>
    <w:rsid w:val="00756B54"/>
    <w:rsid w:val="00757CB2"/>
    <w:rsid w:val="00760DDC"/>
    <w:rsid w:val="00760E4D"/>
    <w:rsid w:val="00761C47"/>
    <w:rsid w:val="00762078"/>
    <w:rsid w:val="00764E00"/>
    <w:rsid w:val="0076516A"/>
    <w:rsid w:val="00766786"/>
    <w:rsid w:val="00767790"/>
    <w:rsid w:val="00770C35"/>
    <w:rsid w:val="00773029"/>
    <w:rsid w:val="00773259"/>
    <w:rsid w:val="007741EE"/>
    <w:rsid w:val="00776C9D"/>
    <w:rsid w:val="007779D4"/>
    <w:rsid w:val="00780DE1"/>
    <w:rsid w:val="007816CC"/>
    <w:rsid w:val="0078188A"/>
    <w:rsid w:val="007853FA"/>
    <w:rsid w:val="00785458"/>
    <w:rsid w:val="00785DA8"/>
    <w:rsid w:val="00786CFD"/>
    <w:rsid w:val="007873DC"/>
    <w:rsid w:val="00787CCB"/>
    <w:rsid w:val="007914C0"/>
    <w:rsid w:val="0079248B"/>
    <w:rsid w:val="007941B2"/>
    <w:rsid w:val="007941F9"/>
    <w:rsid w:val="00795313"/>
    <w:rsid w:val="00796948"/>
    <w:rsid w:val="00797A68"/>
    <w:rsid w:val="007A1B80"/>
    <w:rsid w:val="007A2377"/>
    <w:rsid w:val="007A43F6"/>
    <w:rsid w:val="007A52F5"/>
    <w:rsid w:val="007A5904"/>
    <w:rsid w:val="007A7951"/>
    <w:rsid w:val="007B0229"/>
    <w:rsid w:val="007B1E6F"/>
    <w:rsid w:val="007B4EA7"/>
    <w:rsid w:val="007B6BB1"/>
    <w:rsid w:val="007B6BCC"/>
    <w:rsid w:val="007B7D66"/>
    <w:rsid w:val="007C1602"/>
    <w:rsid w:val="007C239C"/>
    <w:rsid w:val="007C2650"/>
    <w:rsid w:val="007C274F"/>
    <w:rsid w:val="007C3737"/>
    <w:rsid w:val="007C54CF"/>
    <w:rsid w:val="007C5BD4"/>
    <w:rsid w:val="007C5DC3"/>
    <w:rsid w:val="007C6ED1"/>
    <w:rsid w:val="007C7080"/>
    <w:rsid w:val="007C77C8"/>
    <w:rsid w:val="007C7DF6"/>
    <w:rsid w:val="007D0BED"/>
    <w:rsid w:val="007D1481"/>
    <w:rsid w:val="007D15B0"/>
    <w:rsid w:val="007D1CDF"/>
    <w:rsid w:val="007D24A2"/>
    <w:rsid w:val="007D33F2"/>
    <w:rsid w:val="007D3929"/>
    <w:rsid w:val="007D39C7"/>
    <w:rsid w:val="007D3AB9"/>
    <w:rsid w:val="007D4E81"/>
    <w:rsid w:val="007D5A39"/>
    <w:rsid w:val="007D5E65"/>
    <w:rsid w:val="007D69FC"/>
    <w:rsid w:val="007D7646"/>
    <w:rsid w:val="007E1267"/>
    <w:rsid w:val="007E2105"/>
    <w:rsid w:val="007E222E"/>
    <w:rsid w:val="007E2B0D"/>
    <w:rsid w:val="007E2D22"/>
    <w:rsid w:val="007E37D6"/>
    <w:rsid w:val="007E3E23"/>
    <w:rsid w:val="007E3FEE"/>
    <w:rsid w:val="007E4C56"/>
    <w:rsid w:val="007E4DBA"/>
    <w:rsid w:val="007E6292"/>
    <w:rsid w:val="007E62DF"/>
    <w:rsid w:val="007E6A1E"/>
    <w:rsid w:val="007E786D"/>
    <w:rsid w:val="007F04BD"/>
    <w:rsid w:val="007F07C3"/>
    <w:rsid w:val="007F1588"/>
    <w:rsid w:val="007F1D44"/>
    <w:rsid w:val="007F1F3E"/>
    <w:rsid w:val="007F2CA9"/>
    <w:rsid w:val="007F2D27"/>
    <w:rsid w:val="007F4487"/>
    <w:rsid w:val="007F5157"/>
    <w:rsid w:val="007F5744"/>
    <w:rsid w:val="007F649C"/>
    <w:rsid w:val="007F7A1C"/>
    <w:rsid w:val="00800599"/>
    <w:rsid w:val="0080132F"/>
    <w:rsid w:val="00802518"/>
    <w:rsid w:val="00805685"/>
    <w:rsid w:val="00806341"/>
    <w:rsid w:val="008067F2"/>
    <w:rsid w:val="008068E0"/>
    <w:rsid w:val="0080693E"/>
    <w:rsid w:val="00806D01"/>
    <w:rsid w:val="00810611"/>
    <w:rsid w:val="0081074A"/>
    <w:rsid w:val="00811A9F"/>
    <w:rsid w:val="00812050"/>
    <w:rsid w:val="00813FE8"/>
    <w:rsid w:val="00814274"/>
    <w:rsid w:val="00815183"/>
    <w:rsid w:val="008152EB"/>
    <w:rsid w:val="00815636"/>
    <w:rsid w:val="00815F0C"/>
    <w:rsid w:val="0081603C"/>
    <w:rsid w:val="00816D1E"/>
    <w:rsid w:val="008176D0"/>
    <w:rsid w:val="00820011"/>
    <w:rsid w:val="008210C1"/>
    <w:rsid w:val="00821FEC"/>
    <w:rsid w:val="00822542"/>
    <w:rsid w:val="008242F4"/>
    <w:rsid w:val="008267F9"/>
    <w:rsid w:val="008269F2"/>
    <w:rsid w:val="00827C5B"/>
    <w:rsid w:val="00827E4B"/>
    <w:rsid w:val="00830428"/>
    <w:rsid w:val="008314A9"/>
    <w:rsid w:val="008315AC"/>
    <w:rsid w:val="00831B48"/>
    <w:rsid w:val="008320A3"/>
    <w:rsid w:val="00832598"/>
    <w:rsid w:val="0083306D"/>
    <w:rsid w:val="00833164"/>
    <w:rsid w:val="0083390B"/>
    <w:rsid w:val="00833CA9"/>
    <w:rsid w:val="008341CE"/>
    <w:rsid w:val="00834F77"/>
    <w:rsid w:val="00834FCE"/>
    <w:rsid w:val="0083639C"/>
    <w:rsid w:val="00840008"/>
    <w:rsid w:val="00840D64"/>
    <w:rsid w:val="00840E16"/>
    <w:rsid w:val="00843599"/>
    <w:rsid w:val="00843CF9"/>
    <w:rsid w:val="00843FBF"/>
    <w:rsid w:val="0084419C"/>
    <w:rsid w:val="00844378"/>
    <w:rsid w:val="00847C5A"/>
    <w:rsid w:val="00850014"/>
    <w:rsid w:val="008527BE"/>
    <w:rsid w:val="008532E8"/>
    <w:rsid w:val="0085411B"/>
    <w:rsid w:val="00857428"/>
    <w:rsid w:val="00857A53"/>
    <w:rsid w:val="008610C3"/>
    <w:rsid w:val="00861379"/>
    <w:rsid w:val="008621D2"/>
    <w:rsid w:val="00863016"/>
    <w:rsid w:val="0086301F"/>
    <w:rsid w:val="008630AF"/>
    <w:rsid w:val="00865DCD"/>
    <w:rsid w:val="00866D83"/>
    <w:rsid w:val="00866DD4"/>
    <w:rsid w:val="008711F3"/>
    <w:rsid w:val="00871E7F"/>
    <w:rsid w:val="00874188"/>
    <w:rsid w:val="00874A62"/>
    <w:rsid w:val="008753B9"/>
    <w:rsid w:val="008756AE"/>
    <w:rsid w:val="0087571B"/>
    <w:rsid w:val="00875D96"/>
    <w:rsid w:val="008760ED"/>
    <w:rsid w:val="008769F8"/>
    <w:rsid w:val="00876F8B"/>
    <w:rsid w:val="00880A73"/>
    <w:rsid w:val="0088150E"/>
    <w:rsid w:val="0088191C"/>
    <w:rsid w:val="0088642A"/>
    <w:rsid w:val="00886E69"/>
    <w:rsid w:val="00887C98"/>
    <w:rsid w:val="00891867"/>
    <w:rsid w:val="0089188D"/>
    <w:rsid w:val="00892117"/>
    <w:rsid w:val="008928A4"/>
    <w:rsid w:val="008937BB"/>
    <w:rsid w:val="008949BD"/>
    <w:rsid w:val="00894EA2"/>
    <w:rsid w:val="00895469"/>
    <w:rsid w:val="0089548C"/>
    <w:rsid w:val="00896A55"/>
    <w:rsid w:val="0089766A"/>
    <w:rsid w:val="00897827"/>
    <w:rsid w:val="008A077B"/>
    <w:rsid w:val="008A16C4"/>
    <w:rsid w:val="008A1DBE"/>
    <w:rsid w:val="008A2131"/>
    <w:rsid w:val="008A3027"/>
    <w:rsid w:val="008A30BE"/>
    <w:rsid w:val="008A408F"/>
    <w:rsid w:val="008A79A1"/>
    <w:rsid w:val="008B073C"/>
    <w:rsid w:val="008B0757"/>
    <w:rsid w:val="008B08FF"/>
    <w:rsid w:val="008B13BF"/>
    <w:rsid w:val="008B2259"/>
    <w:rsid w:val="008B2D8A"/>
    <w:rsid w:val="008B39A0"/>
    <w:rsid w:val="008B4292"/>
    <w:rsid w:val="008B5F7B"/>
    <w:rsid w:val="008B624B"/>
    <w:rsid w:val="008B766A"/>
    <w:rsid w:val="008C04CA"/>
    <w:rsid w:val="008C079A"/>
    <w:rsid w:val="008C12A5"/>
    <w:rsid w:val="008C215E"/>
    <w:rsid w:val="008C4837"/>
    <w:rsid w:val="008C4AF5"/>
    <w:rsid w:val="008C6CA7"/>
    <w:rsid w:val="008C709E"/>
    <w:rsid w:val="008C75DC"/>
    <w:rsid w:val="008D0BEA"/>
    <w:rsid w:val="008D1CCD"/>
    <w:rsid w:val="008D1E06"/>
    <w:rsid w:val="008D3C7F"/>
    <w:rsid w:val="008D4098"/>
    <w:rsid w:val="008D4AFD"/>
    <w:rsid w:val="008D4F61"/>
    <w:rsid w:val="008D5134"/>
    <w:rsid w:val="008D549E"/>
    <w:rsid w:val="008D7039"/>
    <w:rsid w:val="008D7F30"/>
    <w:rsid w:val="008E0B9F"/>
    <w:rsid w:val="008E0DBD"/>
    <w:rsid w:val="008E1499"/>
    <w:rsid w:val="008E1B13"/>
    <w:rsid w:val="008E2086"/>
    <w:rsid w:val="008E2098"/>
    <w:rsid w:val="008E3533"/>
    <w:rsid w:val="008E3DE7"/>
    <w:rsid w:val="008E42AB"/>
    <w:rsid w:val="008E5158"/>
    <w:rsid w:val="008E5214"/>
    <w:rsid w:val="008E53C9"/>
    <w:rsid w:val="008F0F72"/>
    <w:rsid w:val="008F21E1"/>
    <w:rsid w:val="008F26E4"/>
    <w:rsid w:val="008F43D7"/>
    <w:rsid w:val="008F4F97"/>
    <w:rsid w:val="008F5665"/>
    <w:rsid w:val="008F5B4F"/>
    <w:rsid w:val="008F6733"/>
    <w:rsid w:val="008F6FAD"/>
    <w:rsid w:val="008F7A35"/>
    <w:rsid w:val="00900513"/>
    <w:rsid w:val="00900A20"/>
    <w:rsid w:val="00901E92"/>
    <w:rsid w:val="00902A74"/>
    <w:rsid w:val="009046A4"/>
    <w:rsid w:val="00905ED4"/>
    <w:rsid w:val="00906DFC"/>
    <w:rsid w:val="00907544"/>
    <w:rsid w:val="009106F1"/>
    <w:rsid w:val="00911280"/>
    <w:rsid w:val="009134FD"/>
    <w:rsid w:val="00914B36"/>
    <w:rsid w:val="00914E69"/>
    <w:rsid w:val="00914F24"/>
    <w:rsid w:val="009165F7"/>
    <w:rsid w:val="00917BCF"/>
    <w:rsid w:val="009211DE"/>
    <w:rsid w:val="009215EF"/>
    <w:rsid w:val="00922CBB"/>
    <w:rsid w:val="00924C10"/>
    <w:rsid w:val="009267CD"/>
    <w:rsid w:val="00927BA8"/>
    <w:rsid w:val="00927F5E"/>
    <w:rsid w:val="00930263"/>
    <w:rsid w:val="0093123A"/>
    <w:rsid w:val="00931497"/>
    <w:rsid w:val="009315EB"/>
    <w:rsid w:val="00932A80"/>
    <w:rsid w:val="00932E0B"/>
    <w:rsid w:val="00933B14"/>
    <w:rsid w:val="00935304"/>
    <w:rsid w:val="00935BC0"/>
    <w:rsid w:val="00936197"/>
    <w:rsid w:val="009375CD"/>
    <w:rsid w:val="00937949"/>
    <w:rsid w:val="00937EEA"/>
    <w:rsid w:val="00941067"/>
    <w:rsid w:val="00941AF6"/>
    <w:rsid w:val="009426A9"/>
    <w:rsid w:val="0094279E"/>
    <w:rsid w:val="00942ABC"/>
    <w:rsid w:val="00943609"/>
    <w:rsid w:val="0094478D"/>
    <w:rsid w:val="00945A2A"/>
    <w:rsid w:val="00947AB0"/>
    <w:rsid w:val="009516B8"/>
    <w:rsid w:val="00951876"/>
    <w:rsid w:val="009529B4"/>
    <w:rsid w:val="009537A9"/>
    <w:rsid w:val="00953D84"/>
    <w:rsid w:val="009559AE"/>
    <w:rsid w:val="0095634F"/>
    <w:rsid w:val="00957435"/>
    <w:rsid w:val="00960032"/>
    <w:rsid w:val="00960C83"/>
    <w:rsid w:val="00960ED3"/>
    <w:rsid w:val="00962123"/>
    <w:rsid w:val="00962608"/>
    <w:rsid w:val="0096362D"/>
    <w:rsid w:val="009660DA"/>
    <w:rsid w:val="00967E7B"/>
    <w:rsid w:val="00967EEC"/>
    <w:rsid w:val="00970287"/>
    <w:rsid w:val="009716F5"/>
    <w:rsid w:val="00971C50"/>
    <w:rsid w:val="00974691"/>
    <w:rsid w:val="00975677"/>
    <w:rsid w:val="00976529"/>
    <w:rsid w:val="00977B35"/>
    <w:rsid w:val="00980A47"/>
    <w:rsid w:val="00982A1B"/>
    <w:rsid w:val="00983C5B"/>
    <w:rsid w:val="00987CAF"/>
    <w:rsid w:val="00993516"/>
    <w:rsid w:val="00993AFF"/>
    <w:rsid w:val="00993E41"/>
    <w:rsid w:val="0099636E"/>
    <w:rsid w:val="009A08D0"/>
    <w:rsid w:val="009A3B78"/>
    <w:rsid w:val="009A5490"/>
    <w:rsid w:val="009A57E9"/>
    <w:rsid w:val="009A66E2"/>
    <w:rsid w:val="009A6AF3"/>
    <w:rsid w:val="009A7860"/>
    <w:rsid w:val="009A79FD"/>
    <w:rsid w:val="009A7B0B"/>
    <w:rsid w:val="009B0678"/>
    <w:rsid w:val="009B09A3"/>
    <w:rsid w:val="009B107D"/>
    <w:rsid w:val="009B190F"/>
    <w:rsid w:val="009B20A8"/>
    <w:rsid w:val="009B2A3E"/>
    <w:rsid w:val="009B366E"/>
    <w:rsid w:val="009B4A0F"/>
    <w:rsid w:val="009B50E3"/>
    <w:rsid w:val="009B68C9"/>
    <w:rsid w:val="009B6E7D"/>
    <w:rsid w:val="009B7277"/>
    <w:rsid w:val="009B7703"/>
    <w:rsid w:val="009C2427"/>
    <w:rsid w:val="009C362B"/>
    <w:rsid w:val="009C3D0C"/>
    <w:rsid w:val="009C48E0"/>
    <w:rsid w:val="009C551B"/>
    <w:rsid w:val="009C55CF"/>
    <w:rsid w:val="009C5A97"/>
    <w:rsid w:val="009C5ED0"/>
    <w:rsid w:val="009C7105"/>
    <w:rsid w:val="009C77B9"/>
    <w:rsid w:val="009D0544"/>
    <w:rsid w:val="009D1B55"/>
    <w:rsid w:val="009D34B9"/>
    <w:rsid w:val="009D50B2"/>
    <w:rsid w:val="009D5188"/>
    <w:rsid w:val="009D5D6C"/>
    <w:rsid w:val="009D6089"/>
    <w:rsid w:val="009D654B"/>
    <w:rsid w:val="009D6CED"/>
    <w:rsid w:val="009E0453"/>
    <w:rsid w:val="009E0D6C"/>
    <w:rsid w:val="009E5A66"/>
    <w:rsid w:val="009E71B0"/>
    <w:rsid w:val="009E73CB"/>
    <w:rsid w:val="009F0755"/>
    <w:rsid w:val="009F2A99"/>
    <w:rsid w:val="009F457D"/>
    <w:rsid w:val="009F4A52"/>
    <w:rsid w:val="009F7A5C"/>
    <w:rsid w:val="009F7AAF"/>
    <w:rsid w:val="00A01110"/>
    <w:rsid w:val="00A01703"/>
    <w:rsid w:val="00A01C48"/>
    <w:rsid w:val="00A01F54"/>
    <w:rsid w:val="00A03E36"/>
    <w:rsid w:val="00A043D8"/>
    <w:rsid w:val="00A04670"/>
    <w:rsid w:val="00A0516F"/>
    <w:rsid w:val="00A053D3"/>
    <w:rsid w:val="00A05DC1"/>
    <w:rsid w:val="00A063A2"/>
    <w:rsid w:val="00A07745"/>
    <w:rsid w:val="00A07961"/>
    <w:rsid w:val="00A07BFE"/>
    <w:rsid w:val="00A10014"/>
    <w:rsid w:val="00A113E7"/>
    <w:rsid w:val="00A12A2B"/>
    <w:rsid w:val="00A12DE9"/>
    <w:rsid w:val="00A13749"/>
    <w:rsid w:val="00A13CA3"/>
    <w:rsid w:val="00A14C4E"/>
    <w:rsid w:val="00A14D1C"/>
    <w:rsid w:val="00A15177"/>
    <w:rsid w:val="00A15B3B"/>
    <w:rsid w:val="00A15F42"/>
    <w:rsid w:val="00A16026"/>
    <w:rsid w:val="00A16ED6"/>
    <w:rsid w:val="00A179F5"/>
    <w:rsid w:val="00A2016C"/>
    <w:rsid w:val="00A2023C"/>
    <w:rsid w:val="00A207AA"/>
    <w:rsid w:val="00A213D8"/>
    <w:rsid w:val="00A21A8E"/>
    <w:rsid w:val="00A22C24"/>
    <w:rsid w:val="00A244CC"/>
    <w:rsid w:val="00A24DA1"/>
    <w:rsid w:val="00A24F50"/>
    <w:rsid w:val="00A25751"/>
    <w:rsid w:val="00A25798"/>
    <w:rsid w:val="00A25CFE"/>
    <w:rsid w:val="00A26CD7"/>
    <w:rsid w:val="00A27BB0"/>
    <w:rsid w:val="00A27D0E"/>
    <w:rsid w:val="00A30A15"/>
    <w:rsid w:val="00A30AE7"/>
    <w:rsid w:val="00A312A7"/>
    <w:rsid w:val="00A31CC9"/>
    <w:rsid w:val="00A32CB6"/>
    <w:rsid w:val="00A33956"/>
    <w:rsid w:val="00A34164"/>
    <w:rsid w:val="00A347BB"/>
    <w:rsid w:val="00A34BDF"/>
    <w:rsid w:val="00A34F8E"/>
    <w:rsid w:val="00A365BA"/>
    <w:rsid w:val="00A36700"/>
    <w:rsid w:val="00A40432"/>
    <w:rsid w:val="00A40A77"/>
    <w:rsid w:val="00A41751"/>
    <w:rsid w:val="00A41887"/>
    <w:rsid w:val="00A43EB1"/>
    <w:rsid w:val="00A45184"/>
    <w:rsid w:val="00A4555A"/>
    <w:rsid w:val="00A45BA2"/>
    <w:rsid w:val="00A50865"/>
    <w:rsid w:val="00A538F3"/>
    <w:rsid w:val="00A53A18"/>
    <w:rsid w:val="00A53A5B"/>
    <w:rsid w:val="00A540B1"/>
    <w:rsid w:val="00A543DE"/>
    <w:rsid w:val="00A55A25"/>
    <w:rsid w:val="00A57197"/>
    <w:rsid w:val="00A5725D"/>
    <w:rsid w:val="00A57B10"/>
    <w:rsid w:val="00A61F34"/>
    <w:rsid w:val="00A62489"/>
    <w:rsid w:val="00A62B53"/>
    <w:rsid w:val="00A6418C"/>
    <w:rsid w:val="00A64192"/>
    <w:rsid w:val="00A65F7F"/>
    <w:rsid w:val="00A66736"/>
    <w:rsid w:val="00A67449"/>
    <w:rsid w:val="00A702BA"/>
    <w:rsid w:val="00A70D74"/>
    <w:rsid w:val="00A71A75"/>
    <w:rsid w:val="00A7208D"/>
    <w:rsid w:val="00A722C5"/>
    <w:rsid w:val="00A73020"/>
    <w:rsid w:val="00A73365"/>
    <w:rsid w:val="00A73529"/>
    <w:rsid w:val="00A73B57"/>
    <w:rsid w:val="00A74F37"/>
    <w:rsid w:val="00A7505F"/>
    <w:rsid w:val="00A75F32"/>
    <w:rsid w:val="00A75F74"/>
    <w:rsid w:val="00A77852"/>
    <w:rsid w:val="00A77A44"/>
    <w:rsid w:val="00A822F3"/>
    <w:rsid w:val="00A827E0"/>
    <w:rsid w:val="00A827E3"/>
    <w:rsid w:val="00A85A2A"/>
    <w:rsid w:val="00A86E2D"/>
    <w:rsid w:val="00A874C1"/>
    <w:rsid w:val="00A878B5"/>
    <w:rsid w:val="00A87AE7"/>
    <w:rsid w:val="00A94787"/>
    <w:rsid w:val="00A94BBA"/>
    <w:rsid w:val="00A95E87"/>
    <w:rsid w:val="00A970D5"/>
    <w:rsid w:val="00AA0109"/>
    <w:rsid w:val="00AA1719"/>
    <w:rsid w:val="00AA17EF"/>
    <w:rsid w:val="00AA2C44"/>
    <w:rsid w:val="00AA3B33"/>
    <w:rsid w:val="00AA3EE9"/>
    <w:rsid w:val="00AA4C6B"/>
    <w:rsid w:val="00AA740C"/>
    <w:rsid w:val="00AA7867"/>
    <w:rsid w:val="00AB0C0C"/>
    <w:rsid w:val="00AB1A48"/>
    <w:rsid w:val="00AB1F31"/>
    <w:rsid w:val="00AB23C5"/>
    <w:rsid w:val="00AB42F6"/>
    <w:rsid w:val="00AB4A13"/>
    <w:rsid w:val="00AB6814"/>
    <w:rsid w:val="00AB6ABA"/>
    <w:rsid w:val="00AB73FD"/>
    <w:rsid w:val="00AB742A"/>
    <w:rsid w:val="00AB7C5F"/>
    <w:rsid w:val="00AC1550"/>
    <w:rsid w:val="00AC2DE7"/>
    <w:rsid w:val="00AC3E05"/>
    <w:rsid w:val="00AC5378"/>
    <w:rsid w:val="00AC6A2E"/>
    <w:rsid w:val="00AC7939"/>
    <w:rsid w:val="00AC7F60"/>
    <w:rsid w:val="00AD029D"/>
    <w:rsid w:val="00AD1FAB"/>
    <w:rsid w:val="00AD243D"/>
    <w:rsid w:val="00AD44FC"/>
    <w:rsid w:val="00AD7130"/>
    <w:rsid w:val="00AD7F20"/>
    <w:rsid w:val="00AE08E8"/>
    <w:rsid w:val="00AE0CD9"/>
    <w:rsid w:val="00AE1FAE"/>
    <w:rsid w:val="00AE2D68"/>
    <w:rsid w:val="00AE3B70"/>
    <w:rsid w:val="00AE4366"/>
    <w:rsid w:val="00AE7481"/>
    <w:rsid w:val="00AF0E78"/>
    <w:rsid w:val="00AF15F2"/>
    <w:rsid w:val="00AF18D6"/>
    <w:rsid w:val="00AF190E"/>
    <w:rsid w:val="00AF4401"/>
    <w:rsid w:val="00AF5B94"/>
    <w:rsid w:val="00AF62F1"/>
    <w:rsid w:val="00AF6652"/>
    <w:rsid w:val="00AF6BB5"/>
    <w:rsid w:val="00AF7181"/>
    <w:rsid w:val="00AF7C81"/>
    <w:rsid w:val="00B004AD"/>
    <w:rsid w:val="00B0078D"/>
    <w:rsid w:val="00B00B6F"/>
    <w:rsid w:val="00B01607"/>
    <w:rsid w:val="00B0371C"/>
    <w:rsid w:val="00B03FFA"/>
    <w:rsid w:val="00B040B1"/>
    <w:rsid w:val="00B0479D"/>
    <w:rsid w:val="00B04F2E"/>
    <w:rsid w:val="00B057C2"/>
    <w:rsid w:val="00B05ED5"/>
    <w:rsid w:val="00B06947"/>
    <w:rsid w:val="00B0756B"/>
    <w:rsid w:val="00B1053E"/>
    <w:rsid w:val="00B10E90"/>
    <w:rsid w:val="00B114AB"/>
    <w:rsid w:val="00B11926"/>
    <w:rsid w:val="00B12144"/>
    <w:rsid w:val="00B125A8"/>
    <w:rsid w:val="00B12C47"/>
    <w:rsid w:val="00B12FED"/>
    <w:rsid w:val="00B13726"/>
    <w:rsid w:val="00B13D70"/>
    <w:rsid w:val="00B13F9F"/>
    <w:rsid w:val="00B13FE4"/>
    <w:rsid w:val="00B153FE"/>
    <w:rsid w:val="00B15E58"/>
    <w:rsid w:val="00B20747"/>
    <w:rsid w:val="00B209D9"/>
    <w:rsid w:val="00B22B7E"/>
    <w:rsid w:val="00B23422"/>
    <w:rsid w:val="00B249B3"/>
    <w:rsid w:val="00B26CF0"/>
    <w:rsid w:val="00B26E7E"/>
    <w:rsid w:val="00B26FD9"/>
    <w:rsid w:val="00B317E1"/>
    <w:rsid w:val="00B31D41"/>
    <w:rsid w:val="00B338E6"/>
    <w:rsid w:val="00B33DB8"/>
    <w:rsid w:val="00B345D7"/>
    <w:rsid w:val="00B348A1"/>
    <w:rsid w:val="00B36284"/>
    <w:rsid w:val="00B37325"/>
    <w:rsid w:val="00B37413"/>
    <w:rsid w:val="00B37E25"/>
    <w:rsid w:val="00B37ECB"/>
    <w:rsid w:val="00B40960"/>
    <w:rsid w:val="00B4157A"/>
    <w:rsid w:val="00B426BD"/>
    <w:rsid w:val="00B426E5"/>
    <w:rsid w:val="00B42F1F"/>
    <w:rsid w:val="00B43C2F"/>
    <w:rsid w:val="00B44237"/>
    <w:rsid w:val="00B45C53"/>
    <w:rsid w:val="00B47A8E"/>
    <w:rsid w:val="00B50AF9"/>
    <w:rsid w:val="00B511D4"/>
    <w:rsid w:val="00B51B02"/>
    <w:rsid w:val="00B52FBC"/>
    <w:rsid w:val="00B534BE"/>
    <w:rsid w:val="00B53999"/>
    <w:rsid w:val="00B54635"/>
    <w:rsid w:val="00B54CDD"/>
    <w:rsid w:val="00B558A6"/>
    <w:rsid w:val="00B5646C"/>
    <w:rsid w:val="00B569EB"/>
    <w:rsid w:val="00B609AD"/>
    <w:rsid w:val="00B60FBF"/>
    <w:rsid w:val="00B6204F"/>
    <w:rsid w:val="00B636D2"/>
    <w:rsid w:val="00B64241"/>
    <w:rsid w:val="00B66339"/>
    <w:rsid w:val="00B66B30"/>
    <w:rsid w:val="00B674F5"/>
    <w:rsid w:val="00B67ED4"/>
    <w:rsid w:val="00B70B2C"/>
    <w:rsid w:val="00B70CA9"/>
    <w:rsid w:val="00B71894"/>
    <w:rsid w:val="00B71CA3"/>
    <w:rsid w:val="00B72460"/>
    <w:rsid w:val="00B7327A"/>
    <w:rsid w:val="00B73BED"/>
    <w:rsid w:val="00B742CC"/>
    <w:rsid w:val="00B75126"/>
    <w:rsid w:val="00B77CF7"/>
    <w:rsid w:val="00B839A8"/>
    <w:rsid w:val="00B83C5C"/>
    <w:rsid w:val="00B841F0"/>
    <w:rsid w:val="00B84F80"/>
    <w:rsid w:val="00B85903"/>
    <w:rsid w:val="00B862C8"/>
    <w:rsid w:val="00B87A4C"/>
    <w:rsid w:val="00B90BCE"/>
    <w:rsid w:val="00B90CFB"/>
    <w:rsid w:val="00B9124E"/>
    <w:rsid w:val="00B914BF"/>
    <w:rsid w:val="00B9282E"/>
    <w:rsid w:val="00B92AB9"/>
    <w:rsid w:val="00B93DDD"/>
    <w:rsid w:val="00B95A25"/>
    <w:rsid w:val="00B96D19"/>
    <w:rsid w:val="00B97139"/>
    <w:rsid w:val="00B97997"/>
    <w:rsid w:val="00BA0DC7"/>
    <w:rsid w:val="00BA15FF"/>
    <w:rsid w:val="00BA1A35"/>
    <w:rsid w:val="00BA241B"/>
    <w:rsid w:val="00BA41DC"/>
    <w:rsid w:val="00BA4E27"/>
    <w:rsid w:val="00BA6554"/>
    <w:rsid w:val="00BA6A9D"/>
    <w:rsid w:val="00BA7029"/>
    <w:rsid w:val="00BA7394"/>
    <w:rsid w:val="00BA7BD6"/>
    <w:rsid w:val="00BA7EBC"/>
    <w:rsid w:val="00BB1026"/>
    <w:rsid w:val="00BB34E3"/>
    <w:rsid w:val="00BB37EF"/>
    <w:rsid w:val="00BB408E"/>
    <w:rsid w:val="00BB5491"/>
    <w:rsid w:val="00BB579B"/>
    <w:rsid w:val="00BB7599"/>
    <w:rsid w:val="00BC01CE"/>
    <w:rsid w:val="00BC18DF"/>
    <w:rsid w:val="00BC2AB4"/>
    <w:rsid w:val="00BC5803"/>
    <w:rsid w:val="00BC6302"/>
    <w:rsid w:val="00BC697F"/>
    <w:rsid w:val="00BD063C"/>
    <w:rsid w:val="00BD26F1"/>
    <w:rsid w:val="00BD34AE"/>
    <w:rsid w:val="00BD3CA9"/>
    <w:rsid w:val="00BD3EBA"/>
    <w:rsid w:val="00BD57CE"/>
    <w:rsid w:val="00BD5BC6"/>
    <w:rsid w:val="00BD5C24"/>
    <w:rsid w:val="00BD6E36"/>
    <w:rsid w:val="00BD7839"/>
    <w:rsid w:val="00BD7CFA"/>
    <w:rsid w:val="00BE25CF"/>
    <w:rsid w:val="00BE2FC3"/>
    <w:rsid w:val="00BE4ED0"/>
    <w:rsid w:val="00BE6211"/>
    <w:rsid w:val="00BE6B57"/>
    <w:rsid w:val="00BE6B80"/>
    <w:rsid w:val="00BE7670"/>
    <w:rsid w:val="00BE76D9"/>
    <w:rsid w:val="00BF1BB2"/>
    <w:rsid w:val="00BF1D29"/>
    <w:rsid w:val="00BF2087"/>
    <w:rsid w:val="00BF27F1"/>
    <w:rsid w:val="00BF2E5B"/>
    <w:rsid w:val="00BF2FB3"/>
    <w:rsid w:val="00BF3839"/>
    <w:rsid w:val="00BF40E5"/>
    <w:rsid w:val="00BF43DA"/>
    <w:rsid w:val="00BF5F51"/>
    <w:rsid w:val="00C00658"/>
    <w:rsid w:val="00C01257"/>
    <w:rsid w:val="00C01509"/>
    <w:rsid w:val="00C02290"/>
    <w:rsid w:val="00C02D5F"/>
    <w:rsid w:val="00C04731"/>
    <w:rsid w:val="00C0506A"/>
    <w:rsid w:val="00C0591D"/>
    <w:rsid w:val="00C05A5B"/>
    <w:rsid w:val="00C1034E"/>
    <w:rsid w:val="00C11F2C"/>
    <w:rsid w:val="00C12287"/>
    <w:rsid w:val="00C12E90"/>
    <w:rsid w:val="00C130AF"/>
    <w:rsid w:val="00C13CB2"/>
    <w:rsid w:val="00C140C9"/>
    <w:rsid w:val="00C15319"/>
    <w:rsid w:val="00C1564E"/>
    <w:rsid w:val="00C16482"/>
    <w:rsid w:val="00C167B4"/>
    <w:rsid w:val="00C1756F"/>
    <w:rsid w:val="00C17597"/>
    <w:rsid w:val="00C21567"/>
    <w:rsid w:val="00C233AC"/>
    <w:rsid w:val="00C251E2"/>
    <w:rsid w:val="00C25B5B"/>
    <w:rsid w:val="00C2694A"/>
    <w:rsid w:val="00C3161C"/>
    <w:rsid w:val="00C31B49"/>
    <w:rsid w:val="00C31B7E"/>
    <w:rsid w:val="00C32C6F"/>
    <w:rsid w:val="00C32E6A"/>
    <w:rsid w:val="00C350A9"/>
    <w:rsid w:val="00C358E4"/>
    <w:rsid w:val="00C35C91"/>
    <w:rsid w:val="00C35DDA"/>
    <w:rsid w:val="00C35E51"/>
    <w:rsid w:val="00C36AE8"/>
    <w:rsid w:val="00C36B17"/>
    <w:rsid w:val="00C3795A"/>
    <w:rsid w:val="00C37C3E"/>
    <w:rsid w:val="00C37F8D"/>
    <w:rsid w:val="00C414AA"/>
    <w:rsid w:val="00C41A02"/>
    <w:rsid w:val="00C44EBB"/>
    <w:rsid w:val="00C4531F"/>
    <w:rsid w:val="00C473EF"/>
    <w:rsid w:val="00C47B59"/>
    <w:rsid w:val="00C508E6"/>
    <w:rsid w:val="00C50F28"/>
    <w:rsid w:val="00C52C32"/>
    <w:rsid w:val="00C55784"/>
    <w:rsid w:val="00C57D53"/>
    <w:rsid w:val="00C61EC4"/>
    <w:rsid w:val="00C63032"/>
    <w:rsid w:val="00C634D5"/>
    <w:rsid w:val="00C643DF"/>
    <w:rsid w:val="00C64E60"/>
    <w:rsid w:val="00C67A68"/>
    <w:rsid w:val="00C70C0C"/>
    <w:rsid w:val="00C70C39"/>
    <w:rsid w:val="00C728B2"/>
    <w:rsid w:val="00C72C96"/>
    <w:rsid w:val="00C73AB1"/>
    <w:rsid w:val="00C75E37"/>
    <w:rsid w:val="00C76538"/>
    <w:rsid w:val="00C766B0"/>
    <w:rsid w:val="00C76C7A"/>
    <w:rsid w:val="00C771B9"/>
    <w:rsid w:val="00C77DD7"/>
    <w:rsid w:val="00C81321"/>
    <w:rsid w:val="00C8140A"/>
    <w:rsid w:val="00C83E44"/>
    <w:rsid w:val="00C86E3F"/>
    <w:rsid w:val="00C86F49"/>
    <w:rsid w:val="00C876C2"/>
    <w:rsid w:val="00C90EA9"/>
    <w:rsid w:val="00C91775"/>
    <w:rsid w:val="00C91FE3"/>
    <w:rsid w:val="00C92F64"/>
    <w:rsid w:val="00C938E6"/>
    <w:rsid w:val="00C93E36"/>
    <w:rsid w:val="00C942F1"/>
    <w:rsid w:val="00C96201"/>
    <w:rsid w:val="00CA10E2"/>
    <w:rsid w:val="00CA23B1"/>
    <w:rsid w:val="00CA624F"/>
    <w:rsid w:val="00CA75C0"/>
    <w:rsid w:val="00CB04E4"/>
    <w:rsid w:val="00CB1CB1"/>
    <w:rsid w:val="00CB1E4C"/>
    <w:rsid w:val="00CB2473"/>
    <w:rsid w:val="00CB2565"/>
    <w:rsid w:val="00CB2D6F"/>
    <w:rsid w:val="00CB4ADB"/>
    <w:rsid w:val="00CB53E4"/>
    <w:rsid w:val="00CB5769"/>
    <w:rsid w:val="00CB676E"/>
    <w:rsid w:val="00CB6C0A"/>
    <w:rsid w:val="00CC06AE"/>
    <w:rsid w:val="00CC075E"/>
    <w:rsid w:val="00CC2E4F"/>
    <w:rsid w:val="00CC2EC9"/>
    <w:rsid w:val="00CC50A5"/>
    <w:rsid w:val="00CC5A01"/>
    <w:rsid w:val="00CC6E87"/>
    <w:rsid w:val="00CC7F3B"/>
    <w:rsid w:val="00CD03D3"/>
    <w:rsid w:val="00CD1998"/>
    <w:rsid w:val="00CD25E7"/>
    <w:rsid w:val="00CD2B02"/>
    <w:rsid w:val="00CD4CD2"/>
    <w:rsid w:val="00CD4F30"/>
    <w:rsid w:val="00CD5E79"/>
    <w:rsid w:val="00CD74EE"/>
    <w:rsid w:val="00CD7911"/>
    <w:rsid w:val="00CD7D3D"/>
    <w:rsid w:val="00CE036C"/>
    <w:rsid w:val="00CE14FC"/>
    <w:rsid w:val="00CE2401"/>
    <w:rsid w:val="00CE5FFC"/>
    <w:rsid w:val="00CE6935"/>
    <w:rsid w:val="00CE6B47"/>
    <w:rsid w:val="00CE6C95"/>
    <w:rsid w:val="00CF0354"/>
    <w:rsid w:val="00CF062D"/>
    <w:rsid w:val="00CF0758"/>
    <w:rsid w:val="00CF07CA"/>
    <w:rsid w:val="00CF0C4F"/>
    <w:rsid w:val="00CF0D34"/>
    <w:rsid w:val="00CF1FB5"/>
    <w:rsid w:val="00CF1FE4"/>
    <w:rsid w:val="00CF286C"/>
    <w:rsid w:val="00CF28D5"/>
    <w:rsid w:val="00CF2FAE"/>
    <w:rsid w:val="00CF30F3"/>
    <w:rsid w:val="00CF3681"/>
    <w:rsid w:val="00CF38D2"/>
    <w:rsid w:val="00CF3B97"/>
    <w:rsid w:val="00CF3C44"/>
    <w:rsid w:val="00CF3D0D"/>
    <w:rsid w:val="00CF44AB"/>
    <w:rsid w:val="00CF4EBF"/>
    <w:rsid w:val="00CF596C"/>
    <w:rsid w:val="00D00A5C"/>
    <w:rsid w:val="00D027F3"/>
    <w:rsid w:val="00D0417C"/>
    <w:rsid w:val="00D042BA"/>
    <w:rsid w:val="00D052F4"/>
    <w:rsid w:val="00D05463"/>
    <w:rsid w:val="00D059D4"/>
    <w:rsid w:val="00D06633"/>
    <w:rsid w:val="00D06803"/>
    <w:rsid w:val="00D0721B"/>
    <w:rsid w:val="00D07DBC"/>
    <w:rsid w:val="00D10496"/>
    <w:rsid w:val="00D10726"/>
    <w:rsid w:val="00D10D70"/>
    <w:rsid w:val="00D14B72"/>
    <w:rsid w:val="00D160FD"/>
    <w:rsid w:val="00D162F3"/>
    <w:rsid w:val="00D16EC3"/>
    <w:rsid w:val="00D20B8B"/>
    <w:rsid w:val="00D223F9"/>
    <w:rsid w:val="00D2310A"/>
    <w:rsid w:val="00D248F3"/>
    <w:rsid w:val="00D25A7F"/>
    <w:rsid w:val="00D2798B"/>
    <w:rsid w:val="00D3051E"/>
    <w:rsid w:val="00D30559"/>
    <w:rsid w:val="00D30789"/>
    <w:rsid w:val="00D31633"/>
    <w:rsid w:val="00D32A17"/>
    <w:rsid w:val="00D32D77"/>
    <w:rsid w:val="00D33AA8"/>
    <w:rsid w:val="00D345C6"/>
    <w:rsid w:val="00D3684C"/>
    <w:rsid w:val="00D400B1"/>
    <w:rsid w:val="00D401CA"/>
    <w:rsid w:val="00D42544"/>
    <w:rsid w:val="00D42F01"/>
    <w:rsid w:val="00D442A6"/>
    <w:rsid w:val="00D44F96"/>
    <w:rsid w:val="00D458C3"/>
    <w:rsid w:val="00D45B6A"/>
    <w:rsid w:val="00D469EF"/>
    <w:rsid w:val="00D47143"/>
    <w:rsid w:val="00D50577"/>
    <w:rsid w:val="00D52B21"/>
    <w:rsid w:val="00D531C2"/>
    <w:rsid w:val="00D5336F"/>
    <w:rsid w:val="00D53788"/>
    <w:rsid w:val="00D54265"/>
    <w:rsid w:val="00D56AFB"/>
    <w:rsid w:val="00D57529"/>
    <w:rsid w:val="00D5765A"/>
    <w:rsid w:val="00D60627"/>
    <w:rsid w:val="00D60BAB"/>
    <w:rsid w:val="00D60CB1"/>
    <w:rsid w:val="00D61CE4"/>
    <w:rsid w:val="00D61D84"/>
    <w:rsid w:val="00D63A6E"/>
    <w:rsid w:val="00D646B0"/>
    <w:rsid w:val="00D66248"/>
    <w:rsid w:val="00D671FB"/>
    <w:rsid w:val="00D67E01"/>
    <w:rsid w:val="00D7096F"/>
    <w:rsid w:val="00D71549"/>
    <w:rsid w:val="00D7223F"/>
    <w:rsid w:val="00D737EB"/>
    <w:rsid w:val="00D74668"/>
    <w:rsid w:val="00D7678E"/>
    <w:rsid w:val="00D80021"/>
    <w:rsid w:val="00D8462A"/>
    <w:rsid w:val="00D84E10"/>
    <w:rsid w:val="00D84F3D"/>
    <w:rsid w:val="00D85B90"/>
    <w:rsid w:val="00D868F6"/>
    <w:rsid w:val="00D874D7"/>
    <w:rsid w:val="00D878A0"/>
    <w:rsid w:val="00D87F82"/>
    <w:rsid w:val="00D87FAD"/>
    <w:rsid w:val="00D87FD3"/>
    <w:rsid w:val="00D918B2"/>
    <w:rsid w:val="00D91FB1"/>
    <w:rsid w:val="00D92257"/>
    <w:rsid w:val="00D9337D"/>
    <w:rsid w:val="00D9396D"/>
    <w:rsid w:val="00D93DC3"/>
    <w:rsid w:val="00D94B9A"/>
    <w:rsid w:val="00D9762B"/>
    <w:rsid w:val="00DA0A30"/>
    <w:rsid w:val="00DA2814"/>
    <w:rsid w:val="00DA2CB7"/>
    <w:rsid w:val="00DA406D"/>
    <w:rsid w:val="00DA4A12"/>
    <w:rsid w:val="00DA4D57"/>
    <w:rsid w:val="00DA4ED5"/>
    <w:rsid w:val="00DA4F85"/>
    <w:rsid w:val="00DA5BE3"/>
    <w:rsid w:val="00DA5C29"/>
    <w:rsid w:val="00DA5F3B"/>
    <w:rsid w:val="00DA792C"/>
    <w:rsid w:val="00DA7B54"/>
    <w:rsid w:val="00DA7D5F"/>
    <w:rsid w:val="00DB0711"/>
    <w:rsid w:val="00DB10AE"/>
    <w:rsid w:val="00DB1DE6"/>
    <w:rsid w:val="00DB3596"/>
    <w:rsid w:val="00DB6FBA"/>
    <w:rsid w:val="00DB7504"/>
    <w:rsid w:val="00DB7E5A"/>
    <w:rsid w:val="00DC1181"/>
    <w:rsid w:val="00DC1AD2"/>
    <w:rsid w:val="00DC29DA"/>
    <w:rsid w:val="00DC3EF1"/>
    <w:rsid w:val="00DC3FC7"/>
    <w:rsid w:val="00DC46F0"/>
    <w:rsid w:val="00DC5EB0"/>
    <w:rsid w:val="00DC6971"/>
    <w:rsid w:val="00DC73BA"/>
    <w:rsid w:val="00DC73FF"/>
    <w:rsid w:val="00DC76F3"/>
    <w:rsid w:val="00DD036A"/>
    <w:rsid w:val="00DD0B69"/>
    <w:rsid w:val="00DD1008"/>
    <w:rsid w:val="00DD2D75"/>
    <w:rsid w:val="00DD357F"/>
    <w:rsid w:val="00DD3F8D"/>
    <w:rsid w:val="00DD401C"/>
    <w:rsid w:val="00DD593C"/>
    <w:rsid w:val="00DD6036"/>
    <w:rsid w:val="00DD6756"/>
    <w:rsid w:val="00DD6A62"/>
    <w:rsid w:val="00DD7142"/>
    <w:rsid w:val="00DD794B"/>
    <w:rsid w:val="00DE1F11"/>
    <w:rsid w:val="00DE24A9"/>
    <w:rsid w:val="00DE3B3C"/>
    <w:rsid w:val="00DE489D"/>
    <w:rsid w:val="00DE4CC1"/>
    <w:rsid w:val="00DE4F94"/>
    <w:rsid w:val="00DE51F9"/>
    <w:rsid w:val="00DE53B0"/>
    <w:rsid w:val="00DE6126"/>
    <w:rsid w:val="00DF2E4A"/>
    <w:rsid w:val="00DF342A"/>
    <w:rsid w:val="00DF545B"/>
    <w:rsid w:val="00DF62E4"/>
    <w:rsid w:val="00DF6508"/>
    <w:rsid w:val="00DF67A7"/>
    <w:rsid w:val="00DF6C64"/>
    <w:rsid w:val="00DF7169"/>
    <w:rsid w:val="00DF75B7"/>
    <w:rsid w:val="00DF7DE8"/>
    <w:rsid w:val="00DF7E2D"/>
    <w:rsid w:val="00E011CE"/>
    <w:rsid w:val="00E01BAA"/>
    <w:rsid w:val="00E01E19"/>
    <w:rsid w:val="00E02C44"/>
    <w:rsid w:val="00E063C1"/>
    <w:rsid w:val="00E07057"/>
    <w:rsid w:val="00E073A5"/>
    <w:rsid w:val="00E07802"/>
    <w:rsid w:val="00E10494"/>
    <w:rsid w:val="00E10730"/>
    <w:rsid w:val="00E1404B"/>
    <w:rsid w:val="00E14363"/>
    <w:rsid w:val="00E164E7"/>
    <w:rsid w:val="00E20B3B"/>
    <w:rsid w:val="00E20CD9"/>
    <w:rsid w:val="00E20D5E"/>
    <w:rsid w:val="00E2268F"/>
    <w:rsid w:val="00E22BA4"/>
    <w:rsid w:val="00E22D00"/>
    <w:rsid w:val="00E23011"/>
    <w:rsid w:val="00E24229"/>
    <w:rsid w:val="00E24E5D"/>
    <w:rsid w:val="00E25AC6"/>
    <w:rsid w:val="00E25BEA"/>
    <w:rsid w:val="00E27867"/>
    <w:rsid w:val="00E30445"/>
    <w:rsid w:val="00E30B1A"/>
    <w:rsid w:val="00E31A60"/>
    <w:rsid w:val="00E336F9"/>
    <w:rsid w:val="00E34275"/>
    <w:rsid w:val="00E3593C"/>
    <w:rsid w:val="00E35E66"/>
    <w:rsid w:val="00E3645A"/>
    <w:rsid w:val="00E36B23"/>
    <w:rsid w:val="00E36CA6"/>
    <w:rsid w:val="00E36DA4"/>
    <w:rsid w:val="00E37138"/>
    <w:rsid w:val="00E4065D"/>
    <w:rsid w:val="00E40CC1"/>
    <w:rsid w:val="00E40FF9"/>
    <w:rsid w:val="00E41758"/>
    <w:rsid w:val="00E43F6B"/>
    <w:rsid w:val="00E441C4"/>
    <w:rsid w:val="00E44958"/>
    <w:rsid w:val="00E45899"/>
    <w:rsid w:val="00E45BAC"/>
    <w:rsid w:val="00E46800"/>
    <w:rsid w:val="00E469C4"/>
    <w:rsid w:val="00E4730C"/>
    <w:rsid w:val="00E47379"/>
    <w:rsid w:val="00E50330"/>
    <w:rsid w:val="00E50CEE"/>
    <w:rsid w:val="00E5165A"/>
    <w:rsid w:val="00E52A0F"/>
    <w:rsid w:val="00E5312B"/>
    <w:rsid w:val="00E5416F"/>
    <w:rsid w:val="00E54A63"/>
    <w:rsid w:val="00E54B3B"/>
    <w:rsid w:val="00E5639D"/>
    <w:rsid w:val="00E567D4"/>
    <w:rsid w:val="00E56A5E"/>
    <w:rsid w:val="00E56BDD"/>
    <w:rsid w:val="00E57086"/>
    <w:rsid w:val="00E579D6"/>
    <w:rsid w:val="00E60295"/>
    <w:rsid w:val="00E60448"/>
    <w:rsid w:val="00E607FA"/>
    <w:rsid w:val="00E6116A"/>
    <w:rsid w:val="00E6129E"/>
    <w:rsid w:val="00E61EC6"/>
    <w:rsid w:val="00E643A7"/>
    <w:rsid w:val="00E64CC1"/>
    <w:rsid w:val="00E67C97"/>
    <w:rsid w:val="00E67D28"/>
    <w:rsid w:val="00E7102C"/>
    <w:rsid w:val="00E71815"/>
    <w:rsid w:val="00E71994"/>
    <w:rsid w:val="00E71BA0"/>
    <w:rsid w:val="00E74610"/>
    <w:rsid w:val="00E749E7"/>
    <w:rsid w:val="00E75FA7"/>
    <w:rsid w:val="00E76223"/>
    <w:rsid w:val="00E76475"/>
    <w:rsid w:val="00E764D8"/>
    <w:rsid w:val="00E77579"/>
    <w:rsid w:val="00E801FE"/>
    <w:rsid w:val="00E80F49"/>
    <w:rsid w:val="00E8144E"/>
    <w:rsid w:val="00E8338D"/>
    <w:rsid w:val="00E843E8"/>
    <w:rsid w:val="00E84A12"/>
    <w:rsid w:val="00E85A0F"/>
    <w:rsid w:val="00E85BE8"/>
    <w:rsid w:val="00E861FF"/>
    <w:rsid w:val="00E86484"/>
    <w:rsid w:val="00E86BC2"/>
    <w:rsid w:val="00E87C45"/>
    <w:rsid w:val="00E92182"/>
    <w:rsid w:val="00E92E1D"/>
    <w:rsid w:val="00E94124"/>
    <w:rsid w:val="00E9623A"/>
    <w:rsid w:val="00E96249"/>
    <w:rsid w:val="00E96BB7"/>
    <w:rsid w:val="00E9736C"/>
    <w:rsid w:val="00E97F0B"/>
    <w:rsid w:val="00EA0C99"/>
    <w:rsid w:val="00EA1278"/>
    <w:rsid w:val="00EA16E6"/>
    <w:rsid w:val="00EA1DD2"/>
    <w:rsid w:val="00EA336F"/>
    <w:rsid w:val="00EA3922"/>
    <w:rsid w:val="00EA5478"/>
    <w:rsid w:val="00EA7151"/>
    <w:rsid w:val="00EA76D4"/>
    <w:rsid w:val="00EB0419"/>
    <w:rsid w:val="00EB0552"/>
    <w:rsid w:val="00EB0787"/>
    <w:rsid w:val="00EB1A2C"/>
    <w:rsid w:val="00EB272F"/>
    <w:rsid w:val="00EB33E1"/>
    <w:rsid w:val="00EB3E52"/>
    <w:rsid w:val="00EB49CA"/>
    <w:rsid w:val="00EB5A1D"/>
    <w:rsid w:val="00EB7516"/>
    <w:rsid w:val="00EC1897"/>
    <w:rsid w:val="00EC2584"/>
    <w:rsid w:val="00EC2C65"/>
    <w:rsid w:val="00EC3091"/>
    <w:rsid w:val="00EC316F"/>
    <w:rsid w:val="00EC357B"/>
    <w:rsid w:val="00EC5168"/>
    <w:rsid w:val="00EC5EC3"/>
    <w:rsid w:val="00EC6557"/>
    <w:rsid w:val="00EC67EE"/>
    <w:rsid w:val="00EC77F8"/>
    <w:rsid w:val="00EC7D1C"/>
    <w:rsid w:val="00ED09CB"/>
    <w:rsid w:val="00ED0EAB"/>
    <w:rsid w:val="00ED1CEE"/>
    <w:rsid w:val="00ED2CB1"/>
    <w:rsid w:val="00ED3672"/>
    <w:rsid w:val="00ED3C62"/>
    <w:rsid w:val="00ED3E3B"/>
    <w:rsid w:val="00ED3FE8"/>
    <w:rsid w:val="00ED4472"/>
    <w:rsid w:val="00ED61A5"/>
    <w:rsid w:val="00ED6A9F"/>
    <w:rsid w:val="00ED746B"/>
    <w:rsid w:val="00EE01CF"/>
    <w:rsid w:val="00EE1D48"/>
    <w:rsid w:val="00EE3549"/>
    <w:rsid w:val="00EE4703"/>
    <w:rsid w:val="00EE4BB6"/>
    <w:rsid w:val="00EE4C55"/>
    <w:rsid w:val="00EE54BF"/>
    <w:rsid w:val="00EE552F"/>
    <w:rsid w:val="00EE6173"/>
    <w:rsid w:val="00EE644C"/>
    <w:rsid w:val="00EE66C7"/>
    <w:rsid w:val="00EE69BD"/>
    <w:rsid w:val="00EE72D9"/>
    <w:rsid w:val="00EF0D68"/>
    <w:rsid w:val="00EF107C"/>
    <w:rsid w:val="00EF14B0"/>
    <w:rsid w:val="00EF168D"/>
    <w:rsid w:val="00EF1F75"/>
    <w:rsid w:val="00EF3815"/>
    <w:rsid w:val="00EF3A18"/>
    <w:rsid w:val="00EF40B8"/>
    <w:rsid w:val="00EF51EA"/>
    <w:rsid w:val="00EF55ED"/>
    <w:rsid w:val="00EF64AD"/>
    <w:rsid w:val="00EF6C22"/>
    <w:rsid w:val="00F00C45"/>
    <w:rsid w:val="00F0171F"/>
    <w:rsid w:val="00F03D12"/>
    <w:rsid w:val="00F0451B"/>
    <w:rsid w:val="00F04CAB"/>
    <w:rsid w:val="00F05F87"/>
    <w:rsid w:val="00F06593"/>
    <w:rsid w:val="00F067C4"/>
    <w:rsid w:val="00F06ACF"/>
    <w:rsid w:val="00F10374"/>
    <w:rsid w:val="00F10C2B"/>
    <w:rsid w:val="00F10D75"/>
    <w:rsid w:val="00F10FA7"/>
    <w:rsid w:val="00F111BC"/>
    <w:rsid w:val="00F1148D"/>
    <w:rsid w:val="00F11D55"/>
    <w:rsid w:val="00F12A8C"/>
    <w:rsid w:val="00F13DC3"/>
    <w:rsid w:val="00F144A5"/>
    <w:rsid w:val="00F1553C"/>
    <w:rsid w:val="00F179A5"/>
    <w:rsid w:val="00F2058C"/>
    <w:rsid w:val="00F215F4"/>
    <w:rsid w:val="00F21EFE"/>
    <w:rsid w:val="00F2214D"/>
    <w:rsid w:val="00F24EC2"/>
    <w:rsid w:val="00F25036"/>
    <w:rsid w:val="00F25085"/>
    <w:rsid w:val="00F25132"/>
    <w:rsid w:val="00F25E24"/>
    <w:rsid w:val="00F27797"/>
    <w:rsid w:val="00F30666"/>
    <w:rsid w:val="00F30C8E"/>
    <w:rsid w:val="00F3164C"/>
    <w:rsid w:val="00F323F2"/>
    <w:rsid w:val="00F3488F"/>
    <w:rsid w:val="00F36690"/>
    <w:rsid w:val="00F368D7"/>
    <w:rsid w:val="00F37354"/>
    <w:rsid w:val="00F40BD2"/>
    <w:rsid w:val="00F40FC9"/>
    <w:rsid w:val="00F42061"/>
    <w:rsid w:val="00F42948"/>
    <w:rsid w:val="00F42C7C"/>
    <w:rsid w:val="00F43487"/>
    <w:rsid w:val="00F4424B"/>
    <w:rsid w:val="00F45598"/>
    <w:rsid w:val="00F46E90"/>
    <w:rsid w:val="00F47686"/>
    <w:rsid w:val="00F47E54"/>
    <w:rsid w:val="00F51C08"/>
    <w:rsid w:val="00F529A2"/>
    <w:rsid w:val="00F52F26"/>
    <w:rsid w:val="00F53BF7"/>
    <w:rsid w:val="00F543BD"/>
    <w:rsid w:val="00F5471D"/>
    <w:rsid w:val="00F566CB"/>
    <w:rsid w:val="00F5750B"/>
    <w:rsid w:val="00F6035F"/>
    <w:rsid w:val="00F60592"/>
    <w:rsid w:val="00F606C1"/>
    <w:rsid w:val="00F6081B"/>
    <w:rsid w:val="00F612DB"/>
    <w:rsid w:val="00F61A63"/>
    <w:rsid w:val="00F61CE0"/>
    <w:rsid w:val="00F62322"/>
    <w:rsid w:val="00F62677"/>
    <w:rsid w:val="00F63109"/>
    <w:rsid w:val="00F64725"/>
    <w:rsid w:val="00F65695"/>
    <w:rsid w:val="00F65922"/>
    <w:rsid w:val="00F673E3"/>
    <w:rsid w:val="00F67A9A"/>
    <w:rsid w:val="00F67D62"/>
    <w:rsid w:val="00F70A8B"/>
    <w:rsid w:val="00F722F6"/>
    <w:rsid w:val="00F72F97"/>
    <w:rsid w:val="00F73E65"/>
    <w:rsid w:val="00F7428C"/>
    <w:rsid w:val="00F74F2D"/>
    <w:rsid w:val="00F770C1"/>
    <w:rsid w:val="00F77C5C"/>
    <w:rsid w:val="00F80C71"/>
    <w:rsid w:val="00F813D9"/>
    <w:rsid w:val="00F81EC8"/>
    <w:rsid w:val="00F827B8"/>
    <w:rsid w:val="00F82A55"/>
    <w:rsid w:val="00F82B18"/>
    <w:rsid w:val="00F836C9"/>
    <w:rsid w:val="00F8409D"/>
    <w:rsid w:val="00F846B5"/>
    <w:rsid w:val="00F84D60"/>
    <w:rsid w:val="00F862F2"/>
    <w:rsid w:val="00F86932"/>
    <w:rsid w:val="00F869B9"/>
    <w:rsid w:val="00F875F5"/>
    <w:rsid w:val="00F903F6"/>
    <w:rsid w:val="00F91433"/>
    <w:rsid w:val="00F92407"/>
    <w:rsid w:val="00F92E0C"/>
    <w:rsid w:val="00F92EB6"/>
    <w:rsid w:val="00F9635B"/>
    <w:rsid w:val="00FA06AC"/>
    <w:rsid w:val="00FA108A"/>
    <w:rsid w:val="00FA1BB6"/>
    <w:rsid w:val="00FA2E61"/>
    <w:rsid w:val="00FA3C13"/>
    <w:rsid w:val="00FA41E4"/>
    <w:rsid w:val="00FA6D3F"/>
    <w:rsid w:val="00FA705A"/>
    <w:rsid w:val="00FA7257"/>
    <w:rsid w:val="00FA7B8F"/>
    <w:rsid w:val="00FA7E4C"/>
    <w:rsid w:val="00FB141A"/>
    <w:rsid w:val="00FB4464"/>
    <w:rsid w:val="00FB4839"/>
    <w:rsid w:val="00FB59F4"/>
    <w:rsid w:val="00FB5FBD"/>
    <w:rsid w:val="00FB6B67"/>
    <w:rsid w:val="00FB7817"/>
    <w:rsid w:val="00FC0094"/>
    <w:rsid w:val="00FC161F"/>
    <w:rsid w:val="00FC188D"/>
    <w:rsid w:val="00FC1E06"/>
    <w:rsid w:val="00FC293B"/>
    <w:rsid w:val="00FC547C"/>
    <w:rsid w:val="00FD2C04"/>
    <w:rsid w:val="00FD3C4D"/>
    <w:rsid w:val="00FD5DB5"/>
    <w:rsid w:val="00FD664A"/>
    <w:rsid w:val="00FD7DFE"/>
    <w:rsid w:val="00FE1EE2"/>
    <w:rsid w:val="00FE2B09"/>
    <w:rsid w:val="00FE3AC0"/>
    <w:rsid w:val="00FE79DD"/>
    <w:rsid w:val="00FE7D83"/>
    <w:rsid w:val="00FF02DA"/>
    <w:rsid w:val="00FF10F1"/>
    <w:rsid w:val="00FF13E7"/>
    <w:rsid w:val="00FF1929"/>
    <w:rsid w:val="00FF2225"/>
    <w:rsid w:val="00FF255F"/>
    <w:rsid w:val="00FF337D"/>
    <w:rsid w:val="00FF4FCB"/>
    <w:rsid w:val="00FF5A9B"/>
    <w:rsid w:val="00FF7189"/>
    <w:rsid w:val="00FF75AB"/>
    <w:rsid w:val="017D34C6"/>
    <w:rsid w:val="02344A4E"/>
    <w:rsid w:val="02381B49"/>
    <w:rsid w:val="026008B7"/>
    <w:rsid w:val="02EC05EE"/>
    <w:rsid w:val="02FE2454"/>
    <w:rsid w:val="039E5957"/>
    <w:rsid w:val="03CB61BA"/>
    <w:rsid w:val="03EC4F1F"/>
    <w:rsid w:val="043D51D0"/>
    <w:rsid w:val="04465D19"/>
    <w:rsid w:val="06C960F7"/>
    <w:rsid w:val="07083EEA"/>
    <w:rsid w:val="07416277"/>
    <w:rsid w:val="07E2584A"/>
    <w:rsid w:val="082E726C"/>
    <w:rsid w:val="09576B8E"/>
    <w:rsid w:val="09A47A72"/>
    <w:rsid w:val="0A285F7F"/>
    <w:rsid w:val="0BD84DFA"/>
    <w:rsid w:val="0C2D5BB6"/>
    <w:rsid w:val="0C9A207E"/>
    <w:rsid w:val="0CC513A6"/>
    <w:rsid w:val="0D5657FC"/>
    <w:rsid w:val="0D9B02D4"/>
    <w:rsid w:val="0D9B6355"/>
    <w:rsid w:val="0DBE0B9E"/>
    <w:rsid w:val="0E5F7E58"/>
    <w:rsid w:val="0EA174BA"/>
    <w:rsid w:val="0F647C7E"/>
    <w:rsid w:val="0F8D53EB"/>
    <w:rsid w:val="0FDA28C4"/>
    <w:rsid w:val="0FE543D2"/>
    <w:rsid w:val="100D786C"/>
    <w:rsid w:val="10CB5508"/>
    <w:rsid w:val="115D631B"/>
    <w:rsid w:val="11A0520E"/>
    <w:rsid w:val="11A753DF"/>
    <w:rsid w:val="11AD1C9F"/>
    <w:rsid w:val="11C37F45"/>
    <w:rsid w:val="12665018"/>
    <w:rsid w:val="12836E67"/>
    <w:rsid w:val="12A70DD0"/>
    <w:rsid w:val="12F566D8"/>
    <w:rsid w:val="13F8650E"/>
    <w:rsid w:val="14F908E8"/>
    <w:rsid w:val="160256E2"/>
    <w:rsid w:val="165775A7"/>
    <w:rsid w:val="16754A04"/>
    <w:rsid w:val="16BD39C5"/>
    <w:rsid w:val="17BF54C4"/>
    <w:rsid w:val="17E1663A"/>
    <w:rsid w:val="18CD6509"/>
    <w:rsid w:val="19072C47"/>
    <w:rsid w:val="19D33C2C"/>
    <w:rsid w:val="1A127EA3"/>
    <w:rsid w:val="1BD84F33"/>
    <w:rsid w:val="1C2E6D82"/>
    <w:rsid w:val="1C4442B8"/>
    <w:rsid w:val="1CB20DF9"/>
    <w:rsid w:val="1CD91734"/>
    <w:rsid w:val="1D6D338E"/>
    <w:rsid w:val="1D771222"/>
    <w:rsid w:val="1DA4087D"/>
    <w:rsid w:val="1DA91201"/>
    <w:rsid w:val="1DCD7F84"/>
    <w:rsid w:val="1E20004D"/>
    <w:rsid w:val="1E740FCD"/>
    <w:rsid w:val="1E762F2E"/>
    <w:rsid w:val="1EF077A4"/>
    <w:rsid w:val="1FC67CAC"/>
    <w:rsid w:val="20407AA1"/>
    <w:rsid w:val="216A32E7"/>
    <w:rsid w:val="21BD31ED"/>
    <w:rsid w:val="21F57E16"/>
    <w:rsid w:val="220C2FEE"/>
    <w:rsid w:val="22394E1A"/>
    <w:rsid w:val="2244269B"/>
    <w:rsid w:val="224D4336"/>
    <w:rsid w:val="23672CB1"/>
    <w:rsid w:val="23D506A2"/>
    <w:rsid w:val="240A1EF2"/>
    <w:rsid w:val="24163B62"/>
    <w:rsid w:val="248E07F9"/>
    <w:rsid w:val="257D0187"/>
    <w:rsid w:val="25F27327"/>
    <w:rsid w:val="262830E9"/>
    <w:rsid w:val="265D6A4F"/>
    <w:rsid w:val="26771FC9"/>
    <w:rsid w:val="2760499A"/>
    <w:rsid w:val="27BB6A96"/>
    <w:rsid w:val="2904426F"/>
    <w:rsid w:val="2958416C"/>
    <w:rsid w:val="2A156F45"/>
    <w:rsid w:val="2AF661ED"/>
    <w:rsid w:val="2BA65332"/>
    <w:rsid w:val="2BAD44D1"/>
    <w:rsid w:val="2C7F52DB"/>
    <w:rsid w:val="2C870B1A"/>
    <w:rsid w:val="2D3E5623"/>
    <w:rsid w:val="2DEC4080"/>
    <w:rsid w:val="2EB90DB7"/>
    <w:rsid w:val="2ED16E17"/>
    <w:rsid w:val="2F482762"/>
    <w:rsid w:val="2F584E63"/>
    <w:rsid w:val="2F9333F1"/>
    <w:rsid w:val="303C1C4B"/>
    <w:rsid w:val="312F69AA"/>
    <w:rsid w:val="31431620"/>
    <w:rsid w:val="319708B5"/>
    <w:rsid w:val="31C00738"/>
    <w:rsid w:val="325928F8"/>
    <w:rsid w:val="32F1404E"/>
    <w:rsid w:val="340507CD"/>
    <w:rsid w:val="34565710"/>
    <w:rsid w:val="34800174"/>
    <w:rsid w:val="35327889"/>
    <w:rsid w:val="35545F80"/>
    <w:rsid w:val="360771B0"/>
    <w:rsid w:val="362E6D22"/>
    <w:rsid w:val="366E15E9"/>
    <w:rsid w:val="371D6CEE"/>
    <w:rsid w:val="377A05AE"/>
    <w:rsid w:val="37B60BB1"/>
    <w:rsid w:val="38286DBE"/>
    <w:rsid w:val="386E2FFF"/>
    <w:rsid w:val="39635C94"/>
    <w:rsid w:val="398C46F7"/>
    <w:rsid w:val="39A231C9"/>
    <w:rsid w:val="39EB0253"/>
    <w:rsid w:val="3A096670"/>
    <w:rsid w:val="3AFD1969"/>
    <w:rsid w:val="3AFF7597"/>
    <w:rsid w:val="3B916235"/>
    <w:rsid w:val="3C48319F"/>
    <w:rsid w:val="3C962F40"/>
    <w:rsid w:val="3CC71413"/>
    <w:rsid w:val="3DA60B2B"/>
    <w:rsid w:val="3E4C0189"/>
    <w:rsid w:val="3EE057A7"/>
    <w:rsid w:val="403907C1"/>
    <w:rsid w:val="41281FF3"/>
    <w:rsid w:val="415475DF"/>
    <w:rsid w:val="41A847FE"/>
    <w:rsid w:val="41AD63CF"/>
    <w:rsid w:val="41BF250A"/>
    <w:rsid w:val="423716EA"/>
    <w:rsid w:val="428D3673"/>
    <w:rsid w:val="42B72433"/>
    <w:rsid w:val="42E0732C"/>
    <w:rsid w:val="42F9663F"/>
    <w:rsid w:val="435A646D"/>
    <w:rsid w:val="44C00BAF"/>
    <w:rsid w:val="450F1DF3"/>
    <w:rsid w:val="45206A68"/>
    <w:rsid w:val="453D783C"/>
    <w:rsid w:val="45A150D5"/>
    <w:rsid w:val="45F607EF"/>
    <w:rsid w:val="466530B2"/>
    <w:rsid w:val="47370B92"/>
    <w:rsid w:val="47AD58B3"/>
    <w:rsid w:val="480635D5"/>
    <w:rsid w:val="48485DD6"/>
    <w:rsid w:val="48946231"/>
    <w:rsid w:val="48A1734A"/>
    <w:rsid w:val="4918168A"/>
    <w:rsid w:val="4929373B"/>
    <w:rsid w:val="492E2879"/>
    <w:rsid w:val="4A2B57A2"/>
    <w:rsid w:val="4A93308D"/>
    <w:rsid w:val="4CFF708E"/>
    <w:rsid w:val="4D4D1FA4"/>
    <w:rsid w:val="4F072F47"/>
    <w:rsid w:val="4FF774EC"/>
    <w:rsid w:val="502460B8"/>
    <w:rsid w:val="509E3458"/>
    <w:rsid w:val="50DF7AE0"/>
    <w:rsid w:val="512E7E67"/>
    <w:rsid w:val="514156C7"/>
    <w:rsid w:val="518D5A90"/>
    <w:rsid w:val="522837E7"/>
    <w:rsid w:val="524345D3"/>
    <w:rsid w:val="529E0827"/>
    <w:rsid w:val="52FC2C89"/>
    <w:rsid w:val="541F3FA0"/>
    <w:rsid w:val="546639FD"/>
    <w:rsid w:val="547710B6"/>
    <w:rsid w:val="547F74D5"/>
    <w:rsid w:val="549B7F6B"/>
    <w:rsid w:val="55552EB2"/>
    <w:rsid w:val="560626DE"/>
    <w:rsid w:val="560C3DCC"/>
    <w:rsid w:val="56540117"/>
    <w:rsid w:val="57405CEC"/>
    <w:rsid w:val="5758286E"/>
    <w:rsid w:val="57FF683D"/>
    <w:rsid w:val="580F5602"/>
    <w:rsid w:val="58323D85"/>
    <w:rsid w:val="589B01B6"/>
    <w:rsid w:val="58AB2EDF"/>
    <w:rsid w:val="58DB4764"/>
    <w:rsid w:val="59532DBC"/>
    <w:rsid w:val="5A307793"/>
    <w:rsid w:val="5ADA15A6"/>
    <w:rsid w:val="5AFC4BE1"/>
    <w:rsid w:val="5B411EBE"/>
    <w:rsid w:val="5B8950B5"/>
    <w:rsid w:val="5C8141B1"/>
    <w:rsid w:val="5D1664E9"/>
    <w:rsid w:val="5D7B70BE"/>
    <w:rsid w:val="5D9130EA"/>
    <w:rsid w:val="5DA07142"/>
    <w:rsid w:val="5DE53892"/>
    <w:rsid w:val="5E0F4112"/>
    <w:rsid w:val="5E163A27"/>
    <w:rsid w:val="5F146C7E"/>
    <w:rsid w:val="5FE12A2A"/>
    <w:rsid w:val="6101701C"/>
    <w:rsid w:val="61173370"/>
    <w:rsid w:val="613A59EB"/>
    <w:rsid w:val="62016CB7"/>
    <w:rsid w:val="633B7CBA"/>
    <w:rsid w:val="635C1213"/>
    <w:rsid w:val="63A45B56"/>
    <w:rsid w:val="64086C4F"/>
    <w:rsid w:val="64B266F5"/>
    <w:rsid w:val="65030C69"/>
    <w:rsid w:val="650F6DB7"/>
    <w:rsid w:val="658D78B4"/>
    <w:rsid w:val="6640260D"/>
    <w:rsid w:val="672B6F76"/>
    <w:rsid w:val="67676298"/>
    <w:rsid w:val="67890C5A"/>
    <w:rsid w:val="683B0646"/>
    <w:rsid w:val="68A13603"/>
    <w:rsid w:val="68DB0153"/>
    <w:rsid w:val="69004AB8"/>
    <w:rsid w:val="6A876794"/>
    <w:rsid w:val="6B293685"/>
    <w:rsid w:val="6B742DFC"/>
    <w:rsid w:val="6BE767CA"/>
    <w:rsid w:val="6C0176AD"/>
    <w:rsid w:val="6C0E1739"/>
    <w:rsid w:val="6C261043"/>
    <w:rsid w:val="6C655F9E"/>
    <w:rsid w:val="6D2306B1"/>
    <w:rsid w:val="6D3C4D8E"/>
    <w:rsid w:val="6E2B3162"/>
    <w:rsid w:val="6E486D10"/>
    <w:rsid w:val="6EA766A8"/>
    <w:rsid w:val="6F367D76"/>
    <w:rsid w:val="6F3B48D6"/>
    <w:rsid w:val="6F4E256E"/>
    <w:rsid w:val="6F734280"/>
    <w:rsid w:val="70343BF7"/>
    <w:rsid w:val="708B77E4"/>
    <w:rsid w:val="71120287"/>
    <w:rsid w:val="712C252C"/>
    <w:rsid w:val="71330E3A"/>
    <w:rsid w:val="71D15A5A"/>
    <w:rsid w:val="725837E8"/>
    <w:rsid w:val="72BF25D3"/>
    <w:rsid w:val="73690606"/>
    <w:rsid w:val="74CA35B5"/>
    <w:rsid w:val="74EC6493"/>
    <w:rsid w:val="75100034"/>
    <w:rsid w:val="754F24A7"/>
    <w:rsid w:val="75BC4738"/>
    <w:rsid w:val="75DE3384"/>
    <w:rsid w:val="76584C41"/>
    <w:rsid w:val="772127D8"/>
    <w:rsid w:val="774B0CF8"/>
    <w:rsid w:val="77DD4A15"/>
    <w:rsid w:val="78690573"/>
    <w:rsid w:val="7A3013F8"/>
    <w:rsid w:val="7A5832D1"/>
    <w:rsid w:val="7AD227FA"/>
    <w:rsid w:val="7B6F7FAE"/>
    <w:rsid w:val="7BD662D1"/>
    <w:rsid w:val="7BDB48CD"/>
    <w:rsid w:val="7D590625"/>
    <w:rsid w:val="7E012E44"/>
    <w:rsid w:val="7E10702B"/>
    <w:rsid w:val="7EB82BDF"/>
    <w:rsid w:val="7F87025C"/>
    <w:rsid w:val="7FA7714E"/>
    <w:rsid w:val="7FC341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sdException w:qFormat="1" w:unhideWhenUsed="0" w:uiPriority="99" w:semiHidden="0" w:name="HTML Preformatted"/>
    <w:lsdException w:uiPriority="99" w:name="HTML Sample"/>
    <w:lsdException w:uiPriority="99" w:name="HTML Typewriter"/>
    <w:lsdException w:qFormat="1" w:unhideWhenUsed="0" w:uiPriority="99" w:semiHidden="0"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2"/>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7"/>
    <w:unhideWhenUsed/>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5"/>
    <w:qFormat/>
    <w:uiPriority w:val="9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66"/>
    <w:qFormat/>
    <w:uiPriority w:val="99"/>
    <w:pPr>
      <w:keepNext/>
      <w:keepLines/>
      <w:spacing w:before="280" w:after="290" w:line="376" w:lineRule="auto"/>
      <w:outlineLvl w:val="3"/>
    </w:pPr>
    <w:rPr>
      <w:rFonts w:ascii="Arial" w:hAnsi="Arial" w:eastAsia="黑体" w:cs="Times New Roman"/>
      <w:b/>
      <w:bCs/>
      <w:sz w:val="28"/>
      <w:szCs w:val="28"/>
    </w:rPr>
  </w:style>
  <w:style w:type="paragraph" w:styleId="6">
    <w:name w:val="heading 5"/>
    <w:basedOn w:val="1"/>
    <w:next w:val="1"/>
    <w:link w:val="67"/>
    <w:qFormat/>
    <w:uiPriority w:val="99"/>
    <w:pPr>
      <w:keepNext/>
      <w:keepLines/>
      <w:spacing w:before="280" w:after="290" w:line="376" w:lineRule="auto"/>
      <w:outlineLvl w:val="4"/>
    </w:pPr>
    <w:rPr>
      <w:rFonts w:ascii="Calibri" w:hAnsi="Calibri" w:eastAsia="宋体" w:cs="Times New Roman"/>
      <w:b/>
      <w:bCs/>
      <w:kern w:val="0"/>
      <w:sz w:val="28"/>
      <w:szCs w:val="28"/>
    </w:rPr>
  </w:style>
  <w:style w:type="paragraph" w:styleId="7">
    <w:name w:val="heading 6"/>
    <w:basedOn w:val="1"/>
    <w:next w:val="1"/>
    <w:link w:val="68"/>
    <w:qFormat/>
    <w:uiPriority w:val="99"/>
    <w:pPr>
      <w:keepNext/>
      <w:numPr>
        <w:ilvl w:val="1"/>
        <w:numId w:val="1"/>
      </w:numPr>
      <w:tabs>
        <w:tab w:val="left" w:pos="780"/>
        <w:tab w:val="left" w:pos="840"/>
      </w:tabs>
      <w:ind w:hanging="780"/>
      <w:outlineLvl w:val="5"/>
    </w:pPr>
    <w:rPr>
      <w:rFonts w:ascii="Times New Roman" w:hAnsi="Times New Roman" w:eastAsia="MS Mincho" w:cs="Times New Roman"/>
      <w:b/>
      <w:bCs/>
      <w:szCs w:val="24"/>
    </w:rPr>
  </w:style>
  <w:style w:type="paragraph" w:styleId="8">
    <w:name w:val="heading 7"/>
    <w:basedOn w:val="1"/>
    <w:next w:val="1"/>
    <w:link w:val="69"/>
    <w:qFormat/>
    <w:uiPriority w:val="99"/>
    <w:pPr>
      <w:keepNext/>
      <w:keepLines/>
      <w:spacing w:before="240" w:after="64" w:line="320" w:lineRule="auto"/>
      <w:outlineLvl w:val="6"/>
    </w:pPr>
    <w:rPr>
      <w:rFonts w:ascii="Calibri" w:hAnsi="Calibri" w:eastAsia="宋体" w:cs="Times New Roman"/>
      <w:b/>
      <w:bCs/>
      <w:kern w:val="0"/>
      <w:sz w:val="24"/>
      <w:szCs w:val="24"/>
    </w:rPr>
  </w:style>
  <w:style w:type="paragraph" w:styleId="9">
    <w:name w:val="heading 8"/>
    <w:basedOn w:val="1"/>
    <w:next w:val="1"/>
    <w:link w:val="70"/>
    <w:qFormat/>
    <w:uiPriority w:val="99"/>
    <w:pPr>
      <w:keepNext/>
      <w:keepLines/>
      <w:spacing w:before="240" w:after="64" w:line="320" w:lineRule="auto"/>
      <w:outlineLvl w:val="7"/>
    </w:pPr>
    <w:rPr>
      <w:rFonts w:ascii="Cambria" w:hAnsi="Cambria" w:eastAsia="宋体" w:cs="Times New Roman"/>
      <w:kern w:val="0"/>
      <w:sz w:val="24"/>
      <w:szCs w:val="24"/>
    </w:rPr>
  </w:style>
  <w:style w:type="character" w:default="1" w:styleId="39">
    <w:name w:val="Default Paragraph Font"/>
    <w:semiHidden/>
    <w:unhideWhenUsed/>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10">
    <w:name w:val="toc 7"/>
    <w:basedOn w:val="1"/>
    <w:next w:val="1"/>
    <w:qFormat/>
    <w:uiPriority w:val="39"/>
    <w:pPr>
      <w:ind w:left="2520" w:leftChars="1200"/>
    </w:pPr>
    <w:rPr>
      <w:rFonts w:ascii="Calibri" w:hAnsi="Calibri" w:eastAsia="宋体" w:cs="Times New Roman"/>
    </w:rPr>
  </w:style>
  <w:style w:type="paragraph" w:styleId="11">
    <w:name w:val="Normal Indent"/>
    <w:basedOn w:val="1"/>
    <w:qFormat/>
    <w:uiPriority w:val="99"/>
    <w:pPr>
      <w:spacing w:line="300" w:lineRule="auto"/>
      <w:ind w:firstLine="420"/>
    </w:pPr>
    <w:rPr>
      <w:rFonts w:ascii="Times New Roman" w:hAnsi="Times New Roman" w:eastAsia="宋体" w:cs="Times New Roman"/>
      <w:sz w:val="24"/>
      <w:szCs w:val="20"/>
    </w:rPr>
  </w:style>
  <w:style w:type="paragraph" w:styleId="12">
    <w:name w:val="caption"/>
    <w:basedOn w:val="1"/>
    <w:next w:val="1"/>
    <w:qFormat/>
    <w:uiPriority w:val="0"/>
    <w:pPr>
      <w:ind w:firstLine="200" w:firstLineChars="200"/>
    </w:pPr>
    <w:rPr>
      <w:rFonts w:ascii="Cambria" w:hAnsi="Cambria" w:eastAsia="黑体" w:cs="Times New Roman"/>
      <w:sz w:val="20"/>
      <w:szCs w:val="20"/>
    </w:rPr>
  </w:style>
  <w:style w:type="paragraph" w:styleId="13">
    <w:name w:val="Document Map"/>
    <w:basedOn w:val="1"/>
    <w:link w:val="88"/>
    <w:semiHidden/>
    <w:qFormat/>
    <w:uiPriority w:val="99"/>
    <w:pPr>
      <w:shd w:val="clear" w:color="auto" w:fill="000080"/>
    </w:pPr>
  </w:style>
  <w:style w:type="paragraph" w:styleId="14">
    <w:name w:val="annotation text"/>
    <w:basedOn w:val="1"/>
    <w:link w:val="111"/>
    <w:qFormat/>
    <w:uiPriority w:val="99"/>
    <w:pPr>
      <w:adjustRightInd w:val="0"/>
      <w:spacing w:line="312" w:lineRule="atLeast"/>
      <w:jc w:val="left"/>
      <w:textAlignment w:val="baseline"/>
    </w:pPr>
  </w:style>
  <w:style w:type="paragraph" w:styleId="15">
    <w:name w:val="Body Text"/>
    <w:basedOn w:val="1"/>
    <w:link w:val="76"/>
    <w:qFormat/>
    <w:uiPriority w:val="99"/>
    <w:pPr>
      <w:spacing w:after="120"/>
    </w:pPr>
    <w:rPr>
      <w:rFonts w:eastAsia="宋体"/>
    </w:rPr>
  </w:style>
  <w:style w:type="paragraph" w:styleId="16">
    <w:name w:val="Body Text Indent"/>
    <w:basedOn w:val="1"/>
    <w:link w:val="106"/>
    <w:qFormat/>
    <w:uiPriority w:val="99"/>
    <w:pPr>
      <w:spacing w:after="120"/>
      <w:ind w:left="420" w:leftChars="200"/>
    </w:pPr>
  </w:style>
  <w:style w:type="paragraph" w:styleId="17">
    <w:name w:val="toc 5"/>
    <w:basedOn w:val="1"/>
    <w:next w:val="1"/>
    <w:qFormat/>
    <w:uiPriority w:val="39"/>
    <w:pPr>
      <w:ind w:left="1680" w:leftChars="800"/>
    </w:pPr>
    <w:rPr>
      <w:rFonts w:ascii="Calibri" w:hAnsi="Calibri" w:eastAsia="宋体" w:cs="Times New Roman"/>
    </w:rPr>
  </w:style>
  <w:style w:type="paragraph" w:styleId="18">
    <w:name w:val="toc 3"/>
    <w:basedOn w:val="1"/>
    <w:next w:val="1"/>
    <w:qFormat/>
    <w:uiPriority w:val="39"/>
    <w:pPr>
      <w:ind w:left="840" w:leftChars="400"/>
    </w:pPr>
    <w:rPr>
      <w:rFonts w:ascii="Times New Roman" w:hAnsi="Times New Roman" w:eastAsia="宋体" w:cs="Times New Roman"/>
      <w:szCs w:val="20"/>
    </w:rPr>
  </w:style>
  <w:style w:type="paragraph" w:styleId="19">
    <w:name w:val="Plain Text"/>
    <w:basedOn w:val="1"/>
    <w:link w:val="98"/>
    <w:qFormat/>
    <w:uiPriority w:val="99"/>
    <w:rPr>
      <w:rFonts w:ascii="宋体" w:hAnsi="Courier New" w:eastAsia="宋体"/>
      <w:szCs w:val="21"/>
    </w:rPr>
  </w:style>
  <w:style w:type="paragraph" w:styleId="20">
    <w:name w:val="toc 8"/>
    <w:basedOn w:val="1"/>
    <w:next w:val="1"/>
    <w:qFormat/>
    <w:uiPriority w:val="39"/>
    <w:pPr>
      <w:ind w:left="2940" w:leftChars="1400"/>
    </w:pPr>
    <w:rPr>
      <w:rFonts w:ascii="Calibri" w:hAnsi="Calibri" w:eastAsia="宋体" w:cs="Times New Roman"/>
    </w:rPr>
  </w:style>
  <w:style w:type="paragraph" w:styleId="21">
    <w:name w:val="Date"/>
    <w:basedOn w:val="1"/>
    <w:next w:val="1"/>
    <w:link w:val="77"/>
    <w:qFormat/>
    <w:uiPriority w:val="99"/>
    <w:rPr>
      <w:rFonts w:ascii="Calibri" w:hAnsi="Calibri" w:eastAsia="宋体"/>
    </w:rPr>
  </w:style>
  <w:style w:type="paragraph" w:styleId="22">
    <w:name w:val="Body Text Indent 2"/>
    <w:basedOn w:val="1"/>
    <w:link w:val="114"/>
    <w:qFormat/>
    <w:uiPriority w:val="99"/>
    <w:pPr>
      <w:spacing w:line="440" w:lineRule="exact"/>
      <w:ind w:firstLine="480" w:firstLineChars="200"/>
      <w:jc w:val="left"/>
    </w:pPr>
    <w:rPr>
      <w:snapToGrid w:val="0"/>
      <w:sz w:val="24"/>
      <w:szCs w:val="24"/>
    </w:rPr>
  </w:style>
  <w:style w:type="paragraph" w:styleId="23">
    <w:name w:val="Balloon Text"/>
    <w:basedOn w:val="1"/>
    <w:link w:val="58"/>
    <w:qFormat/>
    <w:uiPriority w:val="99"/>
    <w:rPr>
      <w:rFonts w:ascii="Times New Roman" w:hAnsi="Times New Roman" w:eastAsia="宋体" w:cs="Times New Roman"/>
      <w:sz w:val="18"/>
      <w:szCs w:val="18"/>
    </w:rPr>
  </w:style>
  <w:style w:type="paragraph" w:styleId="24">
    <w:name w:val="footer"/>
    <w:basedOn w:val="1"/>
    <w:link w:val="50"/>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25">
    <w:name w:val="header"/>
    <w:basedOn w:val="1"/>
    <w:link w:val="54"/>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8834"/>
      </w:tabs>
      <w:spacing w:beforeLines="50" w:afterLines="50" w:line="360" w:lineRule="auto"/>
    </w:pPr>
    <w:rPr>
      <w:rFonts w:ascii="黑体" w:hAnsi="宋体" w:eastAsia="黑体" w:cs="Times New Roman"/>
      <w:sz w:val="24"/>
      <w:szCs w:val="24"/>
    </w:rPr>
  </w:style>
  <w:style w:type="paragraph" w:styleId="27">
    <w:name w:val="toc 4"/>
    <w:basedOn w:val="1"/>
    <w:next w:val="1"/>
    <w:qFormat/>
    <w:uiPriority w:val="39"/>
    <w:pPr>
      <w:ind w:left="1260" w:leftChars="600"/>
    </w:pPr>
    <w:rPr>
      <w:rFonts w:ascii="Calibri" w:hAnsi="Calibri" w:eastAsia="宋体" w:cs="Times New Roman"/>
    </w:rPr>
  </w:style>
  <w:style w:type="paragraph" w:styleId="28">
    <w:name w:val="Subtitle"/>
    <w:basedOn w:val="1"/>
    <w:next w:val="1"/>
    <w:link w:val="83"/>
    <w:qFormat/>
    <w:uiPriority w:val="99"/>
    <w:pPr>
      <w:adjustRightInd w:val="0"/>
      <w:spacing w:before="240" w:after="60" w:line="312" w:lineRule="atLeast"/>
      <w:jc w:val="center"/>
      <w:textAlignment w:val="baseline"/>
      <w:outlineLvl w:val="1"/>
    </w:pPr>
    <w:rPr>
      <w:rFonts w:ascii="Cambria" w:hAnsi="Cambria"/>
      <w:b/>
      <w:bCs/>
      <w:kern w:val="28"/>
      <w:sz w:val="32"/>
      <w:szCs w:val="32"/>
    </w:rPr>
  </w:style>
  <w:style w:type="paragraph" w:styleId="29">
    <w:name w:val="toc 6"/>
    <w:basedOn w:val="1"/>
    <w:next w:val="1"/>
    <w:qFormat/>
    <w:uiPriority w:val="39"/>
    <w:pPr>
      <w:ind w:left="2100" w:leftChars="1000"/>
    </w:pPr>
    <w:rPr>
      <w:rFonts w:ascii="Calibri" w:hAnsi="Calibri" w:eastAsia="宋体" w:cs="Times New Roman"/>
    </w:rPr>
  </w:style>
  <w:style w:type="paragraph" w:styleId="30">
    <w:name w:val="Body Text Indent 3"/>
    <w:basedOn w:val="1"/>
    <w:link w:val="115"/>
    <w:qFormat/>
    <w:uiPriority w:val="99"/>
    <w:pPr>
      <w:spacing w:after="120"/>
      <w:ind w:left="420" w:leftChars="200"/>
    </w:pPr>
    <w:rPr>
      <w:sz w:val="16"/>
      <w:szCs w:val="16"/>
    </w:rPr>
  </w:style>
  <w:style w:type="paragraph" w:styleId="31">
    <w:name w:val="toc 2"/>
    <w:basedOn w:val="1"/>
    <w:next w:val="1"/>
    <w:qFormat/>
    <w:uiPriority w:val="39"/>
    <w:pPr>
      <w:ind w:left="420" w:leftChars="200"/>
    </w:pPr>
    <w:rPr>
      <w:rFonts w:ascii="Times New Roman" w:hAnsi="Times New Roman" w:eastAsia="宋体" w:cs="Times New Roman"/>
      <w:szCs w:val="20"/>
    </w:rPr>
  </w:style>
  <w:style w:type="paragraph" w:styleId="32">
    <w:name w:val="toc 9"/>
    <w:basedOn w:val="1"/>
    <w:next w:val="1"/>
    <w:qFormat/>
    <w:uiPriority w:val="39"/>
    <w:pPr>
      <w:ind w:left="3360" w:leftChars="1600"/>
    </w:pPr>
    <w:rPr>
      <w:rFonts w:ascii="Calibri" w:hAnsi="Calibri" w:eastAsia="宋体" w:cs="Times New Roman"/>
    </w:rPr>
  </w:style>
  <w:style w:type="paragraph" w:styleId="33">
    <w:name w:val="HTML Preformatted"/>
    <w:basedOn w:val="1"/>
    <w:link w:val="8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paragraph" w:styleId="34">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5">
    <w:name w:val="Title"/>
    <w:basedOn w:val="1"/>
    <w:link w:val="73"/>
    <w:qFormat/>
    <w:uiPriority w:val="99"/>
    <w:pPr>
      <w:jc w:val="center"/>
    </w:pPr>
    <w:rPr>
      <w:rFonts w:eastAsia="黑体"/>
      <w:bCs/>
      <w:sz w:val="32"/>
    </w:rPr>
  </w:style>
  <w:style w:type="paragraph" w:styleId="36">
    <w:name w:val="annotation subject"/>
    <w:basedOn w:val="14"/>
    <w:next w:val="14"/>
    <w:link w:val="89"/>
    <w:qFormat/>
    <w:uiPriority w:val="99"/>
    <w:pPr>
      <w:adjustRightInd/>
      <w:spacing w:line="240" w:lineRule="auto"/>
      <w:textAlignment w:val="auto"/>
    </w:pPr>
    <w:rPr>
      <w:b/>
      <w:bCs/>
    </w:rPr>
  </w:style>
  <w:style w:type="table" w:styleId="38">
    <w:name w:val="Table Grid"/>
    <w:basedOn w:val="3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bCs/>
    </w:rPr>
  </w:style>
  <w:style w:type="character" w:styleId="41">
    <w:name w:val="page number"/>
    <w:basedOn w:val="39"/>
    <w:qFormat/>
    <w:uiPriority w:val="99"/>
  </w:style>
  <w:style w:type="character" w:styleId="42">
    <w:name w:val="FollowedHyperlink"/>
    <w:qFormat/>
    <w:uiPriority w:val="99"/>
    <w:rPr>
      <w:color w:val="800080"/>
      <w:u w:val="single"/>
    </w:rPr>
  </w:style>
  <w:style w:type="character" w:styleId="43">
    <w:name w:val="Emphasis"/>
    <w:qFormat/>
    <w:uiPriority w:val="99"/>
    <w:rPr>
      <w:rFonts w:cs="Times New Roman"/>
      <w:i/>
      <w:iCs/>
    </w:rPr>
  </w:style>
  <w:style w:type="character" w:styleId="44">
    <w:name w:val="HTML Definition"/>
    <w:qFormat/>
    <w:uiPriority w:val="99"/>
    <w:rPr>
      <w:rFonts w:cs="Times New Roman"/>
    </w:rPr>
  </w:style>
  <w:style w:type="character" w:styleId="45">
    <w:name w:val="HTML Variable"/>
    <w:qFormat/>
    <w:uiPriority w:val="99"/>
    <w:rPr>
      <w:rFonts w:cs="Times New Roman"/>
    </w:rPr>
  </w:style>
  <w:style w:type="character" w:styleId="46">
    <w:name w:val="Hyperlink"/>
    <w:unhideWhenUsed/>
    <w:qFormat/>
    <w:uiPriority w:val="99"/>
    <w:rPr>
      <w:color w:val="0000FF"/>
      <w:u w:val="single"/>
    </w:rPr>
  </w:style>
  <w:style w:type="character" w:styleId="47">
    <w:name w:val="HTML Code"/>
    <w:qFormat/>
    <w:uiPriority w:val="99"/>
    <w:rPr>
      <w:rFonts w:ascii="Courier New" w:hAnsi="Courier New" w:cs="Times New Roman"/>
      <w:sz w:val="20"/>
    </w:rPr>
  </w:style>
  <w:style w:type="character" w:styleId="48">
    <w:name w:val="annotation reference"/>
    <w:qFormat/>
    <w:uiPriority w:val="0"/>
    <w:rPr>
      <w:sz w:val="21"/>
      <w:szCs w:val="21"/>
    </w:rPr>
  </w:style>
  <w:style w:type="character" w:styleId="49">
    <w:name w:val="HTML Cite"/>
    <w:qFormat/>
    <w:uiPriority w:val="99"/>
    <w:rPr>
      <w:rFonts w:cs="Times New Roman"/>
    </w:rPr>
  </w:style>
  <w:style w:type="character" w:customStyle="1" w:styleId="50">
    <w:name w:val="页脚 字符"/>
    <w:basedOn w:val="39"/>
    <w:link w:val="24"/>
    <w:qFormat/>
    <w:uiPriority w:val="99"/>
    <w:rPr>
      <w:rFonts w:ascii="等线" w:hAnsi="等线" w:eastAsia="等线" w:cs="Times New Roman"/>
      <w:sz w:val="18"/>
      <w:szCs w:val="18"/>
    </w:rPr>
  </w:style>
  <w:style w:type="table" w:customStyle="1" w:styleId="51">
    <w:name w:val="网格型1"/>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网格型2"/>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网格型3"/>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
    <w:name w:val="页眉 字符"/>
    <w:basedOn w:val="39"/>
    <w:link w:val="25"/>
    <w:qFormat/>
    <w:uiPriority w:val="99"/>
    <w:rPr>
      <w:sz w:val="18"/>
      <w:szCs w:val="18"/>
    </w:rPr>
  </w:style>
  <w:style w:type="table" w:customStyle="1" w:styleId="55">
    <w:name w:val="网格型4"/>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
    <w:name w:val="网格型11"/>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7">
    <w:name w:val="标题 2 字符"/>
    <w:basedOn w:val="39"/>
    <w:link w:val="3"/>
    <w:qFormat/>
    <w:uiPriority w:val="0"/>
    <w:rPr>
      <w:rFonts w:ascii="Arial" w:hAnsi="Arial" w:eastAsia="黑体" w:cs="Times New Roman"/>
      <w:b/>
      <w:bCs/>
      <w:sz w:val="32"/>
      <w:szCs w:val="32"/>
    </w:rPr>
  </w:style>
  <w:style w:type="character" w:customStyle="1" w:styleId="58">
    <w:name w:val="批注框文本 字符"/>
    <w:basedOn w:val="39"/>
    <w:link w:val="23"/>
    <w:qFormat/>
    <w:uiPriority w:val="99"/>
    <w:rPr>
      <w:rFonts w:ascii="Times New Roman" w:hAnsi="Times New Roman" w:eastAsia="宋体" w:cs="Times New Roman"/>
      <w:sz w:val="18"/>
      <w:szCs w:val="18"/>
    </w:rPr>
  </w:style>
  <w:style w:type="table" w:customStyle="1" w:styleId="59">
    <w:name w:val="网格型5"/>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
    <w:name w:val="网格型6"/>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网格型7"/>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2">
    <w:name w:val="标题 1 字符"/>
    <w:basedOn w:val="39"/>
    <w:link w:val="2"/>
    <w:qFormat/>
    <w:uiPriority w:val="99"/>
    <w:rPr>
      <w:b/>
      <w:bCs/>
      <w:kern w:val="44"/>
      <w:sz w:val="44"/>
      <w:szCs w:val="44"/>
    </w:rPr>
  </w:style>
  <w:style w:type="table" w:customStyle="1" w:styleId="63">
    <w:name w:val="网格型8"/>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
    <w:name w:val="网格型9"/>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5">
    <w:name w:val="标题 3 字符"/>
    <w:basedOn w:val="39"/>
    <w:link w:val="4"/>
    <w:qFormat/>
    <w:uiPriority w:val="9"/>
    <w:rPr>
      <w:rFonts w:ascii="Times New Roman" w:hAnsi="Times New Roman" w:eastAsia="宋体" w:cs="Times New Roman"/>
      <w:b/>
      <w:bCs/>
      <w:sz w:val="32"/>
      <w:szCs w:val="32"/>
    </w:rPr>
  </w:style>
  <w:style w:type="character" w:customStyle="1" w:styleId="66">
    <w:name w:val="标题 4 字符"/>
    <w:basedOn w:val="39"/>
    <w:link w:val="5"/>
    <w:qFormat/>
    <w:uiPriority w:val="9"/>
    <w:rPr>
      <w:rFonts w:ascii="Arial" w:hAnsi="Arial" w:eastAsia="黑体" w:cs="Times New Roman"/>
      <w:b/>
      <w:bCs/>
      <w:sz w:val="28"/>
      <w:szCs w:val="28"/>
    </w:rPr>
  </w:style>
  <w:style w:type="character" w:customStyle="1" w:styleId="67">
    <w:name w:val="标题 5 字符"/>
    <w:basedOn w:val="39"/>
    <w:link w:val="6"/>
    <w:qFormat/>
    <w:uiPriority w:val="9"/>
    <w:rPr>
      <w:rFonts w:ascii="Calibri" w:hAnsi="Calibri" w:eastAsia="宋体" w:cs="Times New Roman"/>
      <w:b/>
      <w:bCs/>
      <w:kern w:val="0"/>
      <w:sz w:val="28"/>
      <w:szCs w:val="28"/>
    </w:rPr>
  </w:style>
  <w:style w:type="character" w:customStyle="1" w:styleId="68">
    <w:name w:val="标题 6 字符"/>
    <w:basedOn w:val="39"/>
    <w:link w:val="7"/>
    <w:qFormat/>
    <w:uiPriority w:val="99"/>
    <w:rPr>
      <w:rFonts w:eastAsia="MS Mincho"/>
      <w:b/>
      <w:bCs/>
      <w:kern w:val="2"/>
      <w:sz w:val="21"/>
      <w:szCs w:val="24"/>
    </w:rPr>
  </w:style>
  <w:style w:type="character" w:customStyle="1" w:styleId="69">
    <w:name w:val="标题 7 字符"/>
    <w:basedOn w:val="39"/>
    <w:link w:val="8"/>
    <w:qFormat/>
    <w:uiPriority w:val="9"/>
    <w:rPr>
      <w:rFonts w:ascii="Calibri" w:hAnsi="Calibri" w:eastAsia="宋体" w:cs="Times New Roman"/>
      <w:b/>
      <w:bCs/>
      <w:kern w:val="0"/>
      <w:sz w:val="24"/>
      <w:szCs w:val="24"/>
    </w:rPr>
  </w:style>
  <w:style w:type="character" w:customStyle="1" w:styleId="70">
    <w:name w:val="标题 8 字符"/>
    <w:basedOn w:val="39"/>
    <w:link w:val="9"/>
    <w:qFormat/>
    <w:uiPriority w:val="9"/>
    <w:rPr>
      <w:rFonts w:ascii="Cambria" w:hAnsi="Cambria" w:eastAsia="宋体" w:cs="Times New Roman"/>
      <w:kern w:val="0"/>
      <w:sz w:val="24"/>
      <w:szCs w:val="24"/>
    </w:rPr>
  </w:style>
  <w:style w:type="character" w:customStyle="1" w:styleId="71">
    <w:name w:val="Plain Text Char Char"/>
    <w:link w:val="72"/>
    <w:qFormat/>
    <w:uiPriority w:val="99"/>
    <w:rPr>
      <w:rFonts w:ascii="宋体" w:hAnsi="Courier New" w:eastAsia="宋体"/>
      <w:szCs w:val="21"/>
    </w:rPr>
  </w:style>
  <w:style w:type="paragraph" w:customStyle="1" w:styleId="72">
    <w:name w:val="纯文本1"/>
    <w:basedOn w:val="1"/>
    <w:link w:val="71"/>
    <w:qFormat/>
    <w:uiPriority w:val="99"/>
    <w:rPr>
      <w:rFonts w:ascii="宋体" w:hAnsi="Courier New" w:eastAsia="宋体"/>
      <w:szCs w:val="21"/>
    </w:rPr>
  </w:style>
  <w:style w:type="character" w:customStyle="1" w:styleId="73">
    <w:name w:val="标题 字符"/>
    <w:link w:val="35"/>
    <w:qFormat/>
    <w:uiPriority w:val="10"/>
    <w:rPr>
      <w:rFonts w:eastAsia="黑体"/>
      <w:bCs/>
      <w:sz w:val="32"/>
    </w:rPr>
  </w:style>
  <w:style w:type="character" w:customStyle="1" w:styleId="74">
    <w:name w:val="Char Char16"/>
    <w:qFormat/>
    <w:uiPriority w:val="0"/>
    <w:rPr>
      <w:rFonts w:eastAsia="宋体"/>
      <w:b/>
      <w:kern w:val="44"/>
      <w:sz w:val="44"/>
      <w:lang w:val="en-US" w:eastAsia="zh-CN"/>
    </w:rPr>
  </w:style>
  <w:style w:type="character" w:customStyle="1" w:styleId="75">
    <w:name w:val="title1"/>
    <w:basedOn w:val="39"/>
    <w:qFormat/>
    <w:uiPriority w:val="99"/>
  </w:style>
  <w:style w:type="character" w:customStyle="1" w:styleId="76">
    <w:name w:val="正文文本 字符"/>
    <w:link w:val="15"/>
    <w:qFormat/>
    <w:uiPriority w:val="99"/>
    <w:rPr>
      <w:rFonts w:eastAsia="宋体"/>
    </w:rPr>
  </w:style>
  <w:style w:type="character" w:customStyle="1" w:styleId="77">
    <w:name w:val="日期 字符"/>
    <w:link w:val="21"/>
    <w:qFormat/>
    <w:uiPriority w:val="99"/>
    <w:rPr>
      <w:rFonts w:ascii="Calibri" w:hAnsi="Calibri" w:eastAsia="宋体"/>
    </w:rPr>
  </w:style>
  <w:style w:type="character" w:customStyle="1" w:styleId="78">
    <w:name w:val="明显引用 字符"/>
    <w:link w:val="79"/>
    <w:qFormat/>
    <w:uiPriority w:val="30"/>
    <w:rPr>
      <w:b/>
      <w:bCs/>
      <w:i/>
      <w:iCs/>
      <w:color w:val="4F81BD"/>
    </w:rPr>
  </w:style>
  <w:style w:type="paragraph" w:styleId="79">
    <w:name w:val="Intense Quote"/>
    <w:basedOn w:val="1"/>
    <w:next w:val="1"/>
    <w:link w:val="78"/>
    <w:qFormat/>
    <w:uiPriority w:val="30"/>
    <w:pPr>
      <w:pBdr>
        <w:bottom w:val="single" w:color="4F81BD" w:sz="4" w:space="4"/>
      </w:pBdr>
      <w:spacing w:before="200" w:after="280"/>
      <w:ind w:left="936" w:right="936"/>
    </w:pPr>
    <w:rPr>
      <w:b/>
      <w:bCs/>
      <w:i/>
      <w:iCs/>
      <w:color w:val="4F81BD"/>
    </w:rPr>
  </w:style>
  <w:style w:type="character" w:customStyle="1" w:styleId="80">
    <w:name w:val="日期 Char1"/>
    <w:semiHidden/>
    <w:qFormat/>
    <w:uiPriority w:val="99"/>
    <w:rPr>
      <w:rFonts w:ascii="Times New Roman" w:hAnsi="Times New Roman" w:eastAsia="宋体" w:cs="Times New Roman"/>
      <w:sz w:val="20"/>
      <w:szCs w:val="20"/>
    </w:rPr>
  </w:style>
  <w:style w:type="character" w:customStyle="1" w:styleId="81">
    <w:name w:val="Heading 2 Char"/>
    <w:qFormat/>
    <w:locked/>
    <w:uiPriority w:val="0"/>
    <w:rPr>
      <w:rFonts w:ascii="Arial" w:hAnsi="Arial" w:eastAsia="黑体"/>
      <w:b/>
      <w:bCs/>
      <w:kern w:val="2"/>
      <w:sz w:val="32"/>
      <w:szCs w:val="32"/>
      <w:lang w:val="en-US" w:eastAsia="zh-CN" w:bidi="ar-SA"/>
    </w:rPr>
  </w:style>
  <w:style w:type="character" w:customStyle="1" w:styleId="82">
    <w:name w:val="Char Char151"/>
    <w:qFormat/>
    <w:uiPriority w:val="99"/>
    <w:rPr>
      <w:rFonts w:ascii="Arial" w:hAnsi="Arial" w:eastAsia="黑体"/>
      <w:b/>
      <w:kern w:val="2"/>
      <w:sz w:val="32"/>
      <w:lang w:val="en-US" w:eastAsia="zh-CN"/>
    </w:rPr>
  </w:style>
  <w:style w:type="character" w:customStyle="1" w:styleId="83">
    <w:name w:val="副标题 字符"/>
    <w:link w:val="28"/>
    <w:qFormat/>
    <w:locked/>
    <w:uiPriority w:val="11"/>
    <w:rPr>
      <w:rFonts w:ascii="Cambria" w:hAnsi="Cambria"/>
      <w:b/>
      <w:bCs/>
      <w:kern w:val="28"/>
      <w:sz w:val="32"/>
      <w:szCs w:val="32"/>
    </w:rPr>
  </w:style>
  <w:style w:type="character" w:customStyle="1" w:styleId="84">
    <w:name w:val="z-Bottom of Form Char"/>
    <w:link w:val="85"/>
    <w:qFormat/>
    <w:uiPriority w:val="99"/>
    <w:rPr>
      <w:rFonts w:ascii="Arial" w:hAnsi="Arial" w:eastAsia="宋体"/>
      <w:vanish/>
      <w:sz w:val="16"/>
      <w:szCs w:val="16"/>
    </w:rPr>
  </w:style>
  <w:style w:type="paragraph" w:customStyle="1" w:styleId="85">
    <w:name w:val="z-窗体底端1"/>
    <w:basedOn w:val="1"/>
    <w:next w:val="1"/>
    <w:link w:val="84"/>
    <w:qFormat/>
    <w:uiPriority w:val="99"/>
    <w:pPr>
      <w:widowControl/>
      <w:pBdr>
        <w:top w:val="single" w:color="auto" w:sz="6" w:space="1"/>
      </w:pBdr>
      <w:jc w:val="center"/>
    </w:pPr>
    <w:rPr>
      <w:rFonts w:ascii="Arial" w:hAnsi="Arial" w:eastAsia="宋体"/>
      <w:vanish/>
      <w:sz w:val="16"/>
      <w:szCs w:val="16"/>
    </w:rPr>
  </w:style>
  <w:style w:type="character" w:customStyle="1" w:styleId="86">
    <w:name w:val="HTML 预设格式 字符"/>
    <w:link w:val="33"/>
    <w:qFormat/>
    <w:locked/>
    <w:uiPriority w:val="99"/>
    <w:rPr>
      <w:rFonts w:ascii="宋体" w:hAnsi="宋体"/>
      <w:sz w:val="24"/>
      <w:szCs w:val="24"/>
    </w:rPr>
  </w:style>
  <w:style w:type="character" w:customStyle="1" w:styleId="87">
    <w:name w:val="Char Char15"/>
    <w:qFormat/>
    <w:uiPriority w:val="0"/>
    <w:rPr>
      <w:rFonts w:ascii="Arial" w:hAnsi="Arial" w:eastAsia="黑体"/>
      <w:b/>
      <w:kern w:val="2"/>
      <w:sz w:val="32"/>
      <w:lang w:val="en-US" w:eastAsia="zh-CN"/>
    </w:rPr>
  </w:style>
  <w:style w:type="character" w:customStyle="1" w:styleId="88">
    <w:name w:val="文档结构图 字符"/>
    <w:link w:val="13"/>
    <w:semiHidden/>
    <w:qFormat/>
    <w:locked/>
    <w:uiPriority w:val="99"/>
    <w:rPr>
      <w:shd w:val="clear" w:color="auto" w:fill="000080"/>
    </w:rPr>
  </w:style>
  <w:style w:type="character" w:customStyle="1" w:styleId="89">
    <w:name w:val="批注主题 字符"/>
    <w:link w:val="36"/>
    <w:qFormat/>
    <w:locked/>
    <w:uiPriority w:val="99"/>
    <w:rPr>
      <w:b/>
      <w:bCs/>
    </w:rPr>
  </w:style>
  <w:style w:type="character" w:customStyle="1" w:styleId="90">
    <w:name w:val="Body Text Indent Char Char"/>
    <w:link w:val="91"/>
    <w:qFormat/>
    <w:uiPriority w:val="99"/>
    <w:rPr>
      <w:rFonts w:eastAsia="宋体"/>
    </w:rPr>
  </w:style>
  <w:style w:type="paragraph" w:customStyle="1" w:styleId="91">
    <w:name w:val="正文文本缩进2"/>
    <w:basedOn w:val="1"/>
    <w:link w:val="90"/>
    <w:qFormat/>
    <w:uiPriority w:val="99"/>
    <w:pPr>
      <w:spacing w:after="120"/>
      <w:ind w:left="420" w:leftChars="200"/>
    </w:pPr>
    <w:rPr>
      <w:rFonts w:eastAsia="宋体"/>
    </w:rPr>
  </w:style>
  <w:style w:type="character" w:customStyle="1" w:styleId="92">
    <w:name w:val="Date Char Char"/>
    <w:link w:val="93"/>
    <w:qFormat/>
    <w:uiPriority w:val="99"/>
    <w:rPr>
      <w:rFonts w:ascii="Calibri" w:hAnsi="Calibri"/>
    </w:rPr>
  </w:style>
  <w:style w:type="paragraph" w:customStyle="1" w:styleId="93">
    <w:name w:val="日期2"/>
    <w:basedOn w:val="1"/>
    <w:next w:val="1"/>
    <w:link w:val="92"/>
    <w:qFormat/>
    <w:uiPriority w:val="99"/>
    <w:rPr>
      <w:rFonts w:ascii="Calibri" w:hAnsi="Calibri"/>
    </w:rPr>
  </w:style>
  <w:style w:type="character" w:customStyle="1" w:styleId="94">
    <w:name w:val="apple-style-span"/>
    <w:basedOn w:val="39"/>
    <w:qFormat/>
    <w:uiPriority w:val="99"/>
  </w:style>
  <w:style w:type="character" w:customStyle="1" w:styleId="95">
    <w:name w:val="Date Char1"/>
    <w:semiHidden/>
    <w:qFormat/>
    <w:uiPriority w:val="99"/>
    <w:rPr>
      <w:rFonts w:ascii="Times New Roman" w:hAnsi="Times New Roman"/>
      <w:szCs w:val="20"/>
    </w:rPr>
  </w:style>
  <w:style w:type="character" w:customStyle="1" w:styleId="96">
    <w:name w:val="Char Char153"/>
    <w:qFormat/>
    <w:uiPriority w:val="0"/>
    <w:rPr>
      <w:rFonts w:ascii="Arial" w:hAnsi="Arial" w:eastAsia="黑体"/>
      <w:b/>
      <w:bCs/>
      <w:kern w:val="2"/>
      <w:sz w:val="32"/>
      <w:szCs w:val="32"/>
      <w:lang w:val="en-US" w:eastAsia="zh-CN" w:bidi="ar-SA"/>
    </w:rPr>
  </w:style>
  <w:style w:type="character" w:customStyle="1" w:styleId="97">
    <w:name w:val="Char Char163"/>
    <w:qFormat/>
    <w:uiPriority w:val="0"/>
    <w:rPr>
      <w:rFonts w:eastAsia="宋体"/>
      <w:b/>
      <w:bCs/>
      <w:kern w:val="44"/>
      <w:sz w:val="44"/>
      <w:szCs w:val="44"/>
      <w:lang w:val="en-US" w:eastAsia="zh-CN" w:bidi="ar-SA"/>
    </w:rPr>
  </w:style>
  <w:style w:type="character" w:customStyle="1" w:styleId="98">
    <w:name w:val="纯文本 字符"/>
    <w:link w:val="19"/>
    <w:qFormat/>
    <w:uiPriority w:val="99"/>
    <w:rPr>
      <w:rFonts w:ascii="宋体" w:hAnsi="Courier New" w:eastAsia="宋体"/>
      <w:szCs w:val="21"/>
    </w:rPr>
  </w:style>
  <w:style w:type="character" w:customStyle="1" w:styleId="99">
    <w:name w:val="Comment Subject Char"/>
    <w:link w:val="100"/>
    <w:qFormat/>
    <w:uiPriority w:val="99"/>
    <w:rPr>
      <w:rFonts w:ascii="Calibri" w:hAnsi="Calibri"/>
      <w:b/>
      <w:bCs/>
      <w:sz w:val="18"/>
      <w:szCs w:val="18"/>
    </w:rPr>
  </w:style>
  <w:style w:type="paragraph" w:customStyle="1" w:styleId="100">
    <w:name w:val="批注主题1"/>
    <w:basedOn w:val="14"/>
    <w:next w:val="14"/>
    <w:link w:val="99"/>
    <w:qFormat/>
    <w:uiPriority w:val="99"/>
    <w:pPr>
      <w:adjustRightInd/>
      <w:spacing w:line="240" w:lineRule="auto"/>
      <w:textAlignment w:val="auto"/>
    </w:pPr>
    <w:rPr>
      <w:rFonts w:ascii="Calibri" w:hAnsi="Calibri"/>
      <w:b/>
      <w:bCs/>
      <w:sz w:val="18"/>
      <w:szCs w:val="18"/>
    </w:rPr>
  </w:style>
  <w:style w:type="character" w:customStyle="1" w:styleId="101">
    <w:name w:val="HTML Preformatted Char Char"/>
    <w:link w:val="102"/>
    <w:qFormat/>
    <w:uiPriority w:val="99"/>
    <w:rPr>
      <w:rFonts w:ascii="宋体" w:hAnsi="宋体" w:eastAsia="宋体"/>
      <w:sz w:val="24"/>
      <w:szCs w:val="24"/>
    </w:rPr>
  </w:style>
  <w:style w:type="paragraph" w:customStyle="1" w:styleId="102">
    <w:name w:val="HTML 预设格式1"/>
    <w:basedOn w:val="1"/>
    <w:link w:val="10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sz w:val="24"/>
      <w:szCs w:val="24"/>
    </w:rPr>
  </w:style>
  <w:style w:type="character" w:customStyle="1" w:styleId="103">
    <w:name w:val="Body Text Indent 2 Char Char"/>
    <w:link w:val="104"/>
    <w:qFormat/>
    <w:uiPriority w:val="99"/>
    <w:rPr>
      <w:rFonts w:eastAsia="宋体"/>
      <w:snapToGrid w:val="0"/>
      <w:sz w:val="24"/>
      <w:szCs w:val="24"/>
    </w:rPr>
  </w:style>
  <w:style w:type="paragraph" w:customStyle="1" w:styleId="104">
    <w:name w:val="正文文本缩进 21"/>
    <w:basedOn w:val="1"/>
    <w:link w:val="103"/>
    <w:qFormat/>
    <w:uiPriority w:val="99"/>
    <w:pPr>
      <w:spacing w:line="440" w:lineRule="exact"/>
      <w:ind w:firstLine="480" w:firstLineChars="200"/>
      <w:jc w:val="left"/>
    </w:pPr>
    <w:rPr>
      <w:rFonts w:eastAsia="宋体"/>
      <w:snapToGrid w:val="0"/>
      <w:sz w:val="24"/>
      <w:szCs w:val="24"/>
    </w:rPr>
  </w:style>
  <w:style w:type="character" w:customStyle="1" w:styleId="105">
    <w:name w:val="Document Map Char1"/>
    <w:semiHidden/>
    <w:qFormat/>
    <w:uiPriority w:val="99"/>
    <w:rPr>
      <w:rFonts w:ascii="Times New Roman" w:hAnsi="Times New Roman"/>
      <w:sz w:val="16"/>
      <w:szCs w:val="0"/>
    </w:rPr>
  </w:style>
  <w:style w:type="character" w:customStyle="1" w:styleId="106">
    <w:name w:val="正文文本缩进 字符"/>
    <w:link w:val="16"/>
    <w:qFormat/>
    <w:locked/>
    <w:uiPriority w:val="99"/>
  </w:style>
  <w:style w:type="character" w:customStyle="1" w:styleId="107">
    <w:name w:val="Char Char152"/>
    <w:qFormat/>
    <w:uiPriority w:val="0"/>
    <w:rPr>
      <w:rFonts w:ascii="Arial" w:hAnsi="Arial" w:eastAsia="黑体"/>
      <w:b/>
      <w:kern w:val="2"/>
      <w:sz w:val="32"/>
      <w:lang w:val="en-US" w:eastAsia="zh-CN"/>
    </w:rPr>
  </w:style>
  <w:style w:type="character" w:customStyle="1" w:styleId="108">
    <w:name w:val="Body Text Indent 3 Char Char"/>
    <w:link w:val="109"/>
    <w:qFormat/>
    <w:uiPriority w:val="99"/>
    <w:rPr>
      <w:rFonts w:eastAsia="宋体"/>
      <w:sz w:val="16"/>
      <w:szCs w:val="16"/>
    </w:rPr>
  </w:style>
  <w:style w:type="paragraph" w:customStyle="1" w:styleId="109">
    <w:name w:val="正文文本缩进 31"/>
    <w:basedOn w:val="1"/>
    <w:link w:val="108"/>
    <w:qFormat/>
    <w:uiPriority w:val="99"/>
    <w:pPr>
      <w:spacing w:after="120"/>
      <w:ind w:left="420" w:leftChars="200"/>
    </w:pPr>
    <w:rPr>
      <w:rFonts w:eastAsia="宋体"/>
      <w:sz w:val="16"/>
      <w:szCs w:val="16"/>
    </w:rPr>
  </w:style>
  <w:style w:type="character" w:customStyle="1" w:styleId="110">
    <w:name w:val="Char Char162"/>
    <w:qFormat/>
    <w:uiPriority w:val="0"/>
    <w:rPr>
      <w:rFonts w:eastAsia="宋体"/>
      <w:b/>
      <w:kern w:val="44"/>
      <w:sz w:val="44"/>
      <w:lang w:val="en-US" w:eastAsia="zh-CN"/>
    </w:rPr>
  </w:style>
  <w:style w:type="character" w:customStyle="1" w:styleId="111">
    <w:name w:val="批注文字 字符"/>
    <w:link w:val="14"/>
    <w:qFormat/>
    <w:locked/>
    <w:uiPriority w:val="99"/>
  </w:style>
  <w:style w:type="character" w:customStyle="1" w:styleId="112">
    <w:name w:val="z-Top of Form Char"/>
    <w:link w:val="113"/>
    <w:qFormat/>
    <w:uiPriority w:val="99"/>
    <w:rPr>
      <w:rFonts w:ascii="Arial" w:hAnsi="Arial" w:eastAsia="宋体"/>
      <w:vanish/>
      <w:sz w:val="16"/>
      <w:szCs w:val="16"/>
    </w:rPr>
  </w:style>
  <w:style w:type="paragraph" w:customStyle="1" w:styleId="113">
    <w:name w:val="z-窗体顶端1"/>
    <w:basedOn w:val="1"/>
    <w:next w:val="1"/>
    <w:link w:val="112"/>
    <w:qFormat/>
    <w:uiPriority w:val="99"/>
    <w:pPr>
      <w:widowControl/>
      <w:pBdr>
        <w:bottom w:val="single" w:color="auto" w:sz="6" w:space="1"/>
      </w:pBdr>
      <w:jc w:val="center"/>
    </w:pPr>
    <w:rPr>
      <w:rFonts w:ascii="Arial" w:hAnsi="Arial" w:eastAsia="宋体"/>
      <w:vanish/>
      <w:sz w:val="16"/>
      <w:szCs w:val="16"/>
    </w:rPr>
  </w:style>
  <w:style w:type="character" w:customStyle="1" w:styleId="114">
    <w:name w:val="正文文本缩进 2 字符"/>
    <w:link w:val="22"/>
    <w:qFormat/>
    <w:locked/>
    <w:uiPriority w:val="99"/>
    <w:rPr>
      <w:snapToGrid w:val="0"/>
      <w:sz w:val="24"/>
      <w:szCs w:val="24"/>
    </w:rPr>
  </w:style>
  <w:style w:type="character" w:customStyle="1" w:styleId="115">
    <w:name w:val="正文文本缩进 3 字符"/>
    <w:link w:val="30"/>
    <w:qFormat/>
    <w:locked/>
    <w:uiPriority w:val="99"/>
    <w:rPr>
      <w:sz w:val="16"/>
      <w:szCs w:val="16"/>
    </w:rPr>
  </w:style>
  <w:style w:type="character" w:customStyle="1" w:styleId="116">
    <w:name w:val="Char Char161"/>
    <w:qFormat/>
    <w:uiPriority w:val="99"/>
    <w:rPr>
      <w:rFonts w:eastAsia="宋体"/>
      <w:b/>
      <w:kern w:val="44"/>
      <w:sz w:val="44"/>
      <w:lang w:val="en-US" w:eastAsia="zh-CN"/>
    </w:rPr>
  </w:style>
  <w:style w:type="character" w:customStyle="1" w:styleId="117">
    <w:name w:val="批注文字 Char1"/>
    <w:basedOn w:val="39"/>
    <w:qFormat/>
    <w:uiPriority w:val="99"/>
  </w:style>
  <w:style w:type="character" w:customStyle="1" w:styleId="118">
    <w:name w:val="批注主题 Char1"/>
    <w:basedOn w:val="117"/>
    <w:qFormat/>
    <w:uiPriority w:val="99"/>
    <w:rPr>
      <w:b/>
      <w:bCs/>
    </w:rPr>
  </w:style>
  <w:style w:type="character" w:customStyle="1" w:styleId="119">
    <w:name w:val="文档结构图 Char1"/>
    <w:basedOn w:val="39"/>
    <w:semiHidden/>
    <w:qFormat/>
    <w:uiPriority w:val="99"/>
    <w:rPr>
      <w:rFonts w:ascii="宋体" w:eastAsia="宋体"/>
      <w:sz w:val="18"/>
      <w:szCs w:val="18"/>
    </w:rPr>
  </w:style>
  <w:style w:type="character" w:customStyle="1" w:styleId="120">
    <w:name w:val="正文文本缩进 3 Char1"/>
    <w:basedOn w:val="39"/>
    <w:qFormat/>
    <w:uiPriority w:val="99"/>
    <w:rPr>
      <w:sz w:val="16"/>
      <w:szCs w:val="16"/>
    </w:rPr>
  </w:style>
  <w:style w:type="character" w:customStyle="1" w:styleId="121">
    <w:name w:val="正文文本 Char1"/>
    <w:basedOn w:val="39"/>
    <w:qFormat/>
    <w:uiPriority w:val="99"/>
  </w:style>
  <w:style w:type="character" w:customStyle="1" w:styleId="122">
    <w:name w:val="纯文本 Char1"/>
    <w:basedOn w:val="39"/>
    <w:qFormat/>
    <w:uiPriority w:val="99"/>
    <w:rPr>
      <w:rFonts w:ascii="宋体" w:hAnsi="Courier New" w:eastAsia="宋体" w:cs="Courier New"/>
      <w:szCs w:val="21"/>
    </w:rPr>
  </w:style>
  <w:style w:type="character" w:customStyle="1" w:styleId="123">
    <w:name w:val="正文文本缩进 Char1"/>
    <w:basedOn w:val="39"/>
    <w:qFormat/>
    <w:uiPriority w:val="99"/>
  </w:style>
  <w:style w:type="character" w:customStyle="1" w:styleId="124">
    <w:name w:val="正文文本缩进 2 Char1"/>
    <w:basedOn w:val="39"/>
    <w:qFormat/>
    <w:uiPriority w:val="99"/>
  </w:style>
  <w:style w:type="character" w:customStyle="1" w:styleId="125">
    <w:name w:val="日期 Char2"/>
    <w:basedOn w:val="39"/>
    <w:qFormat/>
    <w:uiPriority w:val="99"/>
  </w:style>
  <w:style w:type="character" w:customStyle="1" w:styleId="126">
    <w:name w:val="副标题 Char1"/>
    <w:basedOn w:val="39"/>
    <w:qFormat/>
    <w:uiPriority w:val="99"/>
    <w:rPr>
      <w:rFonts w:eastAsia="宋体" w:asciiTheme="majorHAnsi" w:hAnsiTheme="majorHAnsi" w:cstheme="majorBidi"/>
      <w:b/>
      <w:bCs/>
      <w:kern w:val="28"/>
      <w:sz w:val="32"/>
      <w:szCs w:val="32"/>
    </w:rPr>
  </w:style>
  <w:style w:type="character" w:customStyle="1" w:styleId="127">
    <w:name w:val="标题 Char1"/>
    <w:basedOn w:val="39"/>
    <w:qFormat/>
    <w:uiPriority w:val="99"/>
    <w:rPr>
      <w:rFonts w:eastAsia="宋体" w:asciiTheme="majorHAnsi" w:hAnsiTheme="majorHAnsi" w:cstheme="majorBidi"/>
      <w:b/>
      <w:bCs/>
      <w:sz w:val="32"/>
      <w:szCs w:val="32"/>
    </w:rPr>
  </w:style>
  <w:style w:type="character" w:customStyle="1" w:styleId="128">
    <w:name w:val="HTML 预设格式 Char1"/>
    <w:basedOn w:val="39"/>
    <w:qFormat/>
    <w:uiPriority w:val="99"/>
    <w:rPr>
      <w:rFonts w:ascii="Courier New" w:hAnsi="Courier New" w:cs="Courier New"/>
      <w:sz w:val="20"/>
      <w:szCs w:val="20"/>
    </w:rPr>
  </w:style>
  <w:style w:type="paragraph" w:customStyle="1" w:styleId="129">
    <w:name w:val="正文文本缩进1"/>
    <w:basedOn w:val="1"/>
    <w:qFormat/>
    <w:uiPriority w:val="99"/>
    <w:pPr>
      <w:spacing w:after="120"/>
      <w:ind w:left="420" w:leftChars="200"/>
    </w:pPr>
    <w:rPr>
      <w:rFonts w:ascii="Calibri" w:hAnsi="Calibri" w:eastAsia="宋体" w:cs="Times New Roman"/>
      <w:kern w:val="0"/>
      <w:sz w:val="20"/>
      <w:szCs w:val="20"/>
    </w:rPr>
  </w:style>
  <w:style w:type="paragraph" w:customStyle="1" w:styleId="130">
    <w:name w:val="批注主题11"/>
    <w:basedOn w:val="14"/>
    <w:next w:val="14"/>
    <w:qFormat/>
    <w:uiPriority w:val="99"/>
    <w:pPr>
      <w:adjustRightInd/>
      <w:spacing w:line="240" w:lineRule="auto"/>
      <w:textAlignment w:val="auto"/>
    </w:pPr>
    <w:rPr>
      <w:rFonts w:ascii="Calibri" w:hAnsi="Calibri"/>
      <w:b/>
      <w:bCs/>
      <w:sz w:val="18"/>
      <w:szCs w:val="18"/>
    </w:rPr>
  </w:style>
  <w:style w:type="paragraph" w:customStyle="1" w:styleId="131">
    <w:name w:val="z-窗体顶端12"/>
    <w:basedOn w:val="1"/>
    <w:next w:val="1"/>
    <w:qFormat/>
    <w:uiPriority w:val="99"/>
    <w:pPr>
      <w:widowControl/>
      <w:pBdr>
        <w:bottom w:val="single" w:color="auto" w:sz="6" w:space="1"/>
      </w:pBdr>
      <w:jc w:val="center"/>
    </w:pPr>
    <w:rPr>
      <w:rFonts w:ascii="Arial" w:hAnsi="Arial" w:eastAsia="宋体" w:cs="Times New Roman"/>
      <w:vanish/>
      <w:kern w:val="0"/>
      <w:sz w:val="16"/>
      <w:szCs w:val="16"/>
    </w:rPr>
  </w:style>
  <w:style w:type="paragraph" w:customStyle="1" w:styleId="132">
    <w:name w:val="日期11"/>
    <w:basedOn w:val="1"/>
    <w:next w:val="1"/>
    <w:qFormat/>
    <w:uiPriority w:val="99"/>
    <w:rPr>
      <w:rFonts w:ascii="Calibri" w:hAnsi="Calibri" w:eastAsia="宋体" w:cs="Times New Roman"/>
      <w:kern w:val="0"/>
      <w:sz w:val="20"/>
      <w:szCs w:val="20"/>
    </w:rPr>
  </w:style>
  <w:style w:type="paragraph" w:customStyle="1" w:styleId="133">
    <w:name w:val="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34">
    <w:name w:val="正文文本缩进11"/>
    <w:basedOn w:val="1"/>
    <w:qFormat/>
    <w:uiPriority w:val="99"/>
    <w:pPr>
      <w:spacing w:after="120"/>
      <w:ind w:left="420" w:leftChars="200"/>
    </w:pPr>
    <w:rPr>
      <w:rFonts w:ascii="Calibri" w:hAnsi="Calibri" w:eastAsia="宋体" w:cs="Times New Roman"/>
      <w:kern w:val="0"/>
      <w:sz w:val="20"/>
      <w:szCs w:val="20"/>
    </w:rPr>
  </w:style>
  <w:style w:type="paragraph" w:customStyle="1" w:styleId="135">
    <w:name w:val="日期12"/>
    <w:basedOn w:val="1"/>
    <w:next w:val="1"/>
    <w:qFormat/>
    <w:uiPriority w:val="99"/>
    <w:rPr>
      <w:rFonts w:ascii="Calibri" w:hAnsi="Calibri" w:eastAsia="宋体" w:cs="Times New Roman"/>
      <w:kern w:val="0"/>
      <w:sz w:val="20"/>
      <w:szCs w:val="20"/>
    </w:rPr>
  </w:style>
  <w:style w:type="paragraph" w:customStyle="1" w:styleId="136">
    <w:name w:val="HTML 预设格式12"/>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customStyle="1" w:styleId="137">
    <w:name w:val="纯文本11"/>
    <w:basedOn w:val="1"/>
    <w:qFormat/>
    <w:uiPriority w:val="99"/>
    <w:rPr>
      <w:rFonts w:ascii="宋体" w:hAnsi="Courier New" w:eastAsia="宋体" w:cs="Times New Roman"/>
      <w:kern w:val="0"/>
      <w:sz w:val="20"/>
      <w:szCs w:val="21"/>
    </w:rPr>
  </w:style>
  <w:style w:type="paragraph" w:customStyle="1" w:styleId="138">
    <w:name w:val="HTML 预设格式11"/>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customStyle="1" w:styleId="139">
    <w:name w:val="批注主题13"/>
    <w:basedOn w:val="14"/>
    <w:next w:val="14"/>
    <w:qFormat/>
    <w:uiPriority w:val="99"/>
    <w:pPr>
      <w:adjustRightInd/>
      <w:spacing w:line="240" w:lineRule="auto"/>
      <w:textAlignment w:val="auto"/>
    </w:pPr>
    <w:rPr>
      <w:rFonts w:ascii="Calibri" w:hAnsi="Calibri"/>
      <w:b/>
      <w:bCs/>
      <w:sz w:val="18"/>
      <w:szCs w:val="18"/>
    </w:rPr>
  </w:style>
  <w:style w:type="paragraph" w:customStyle="1" w:styleId="140">
    <w:name w:val="正文文本缩进 311"/>
    <w:basedOn w:val="1"/>
    <w:qFormat/>
    <w:uiPriority w:val="99"/>
    <w:pPr>
      <w:spacing w:after="120"/>
      <w:ind w:left="420" w:leftChars="200"/>
    </w:pPr>
    <w:rPr>
      <w:rFonts w:ascii="Calibri" w:hAnsi="Calibri" w:eastAsia="宋体" w:cs="Times New Roman"/>
      <w:kern w:val="0"/>
      <w:sz w:val="16"/>
      <w:szCs w:val="16"/>
    </w:rPr>
  </w:style>
  <w:style w:type="paragraph" w:customStyle="1" w:styleId="14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42">
    <w:name w:val="正文文本缩进 211"/>
    <w:basedOn w:val="1"/>
    <w:qFormat/>
    <w:uiPriority w:val="99"/>
    <w:pPr>
      <w:spacing w:line="440" w:lineRule="exact"/>
      <w:ind w:firstLine="480" w:firstLineChars="200"/>
      <w:jc w:val="left"/>
    </w:pPr>
    <w:rPr>
      <w:rFonts w:ascii="Calibri" w:hAnsi="Calibri" w:eastAsia="宋体" w:cs="Times New Roman"/>
      <w:kern w:val="0"/>
      <w:sz w:val="24"/>
      <w:szCs w:val="24"/>
    </w:rPr>
  </w:style>
  <w:style w:type="paragraph" w:customStyle="1" w:styleId="143">
    <w:name w:val="样式 宋体 小四 行距: 1.5 倍行距"/>
    <w:basedOn w:val="1"/>
    <w:qFormat/>
    <w:uiPriority w:val="0"/>
    <w:pPr>
      <w:adjustRightInd w:val="0"/>
      <w:ind w:firstLine="200" w:firstLineChars="200"/>
      <w:textAlignment w:val="baseline"/>
    </w:pPr>
    <w:rPr>
      <w:rFonts w:ascii="宋体" w:hAnsi="宋体" w:eastAsia="宋体" w:cs="宋体"/>
      <w:kern w:val="0"/>
      <w:sz w:val="24"/>
      <w:szCs w:val="20"/>
    </w:rPr>
  </w:style>
  <w:style w:type="paragraph" w:customStyle="1" w:styleId="144">
    <w:name w:val="正文文本缩进 212"/>
    <w:basedOn w:val="1"/>
    <w:qFormat/>
    <w:uiPriority w:val="99"/>
    <w:pPr>
      <w:spacing w:line="440" w:lineRule="exact"/>
      <w:ind w:firstLine="480" w:firstLineChars="200"/>
      <w:jc w:val="left"/>
    </w:pPr>
    <w:rPr>
      <w:rFonts w:ascii="Calibri" w:hAnsi="Calibri" w:eastAsia="宋体" w:cs="Times New Roman"/>
      <w:kern w:val="0"/>
      <w:sz w:val="24"/>
      <w:szCs w:val="24"/>
    </w:rPr>
  </w:style>
  <w:style w:type="paragraph" w:customStyle="1" w:styleId="145">
    <w:name w:val="p0"/>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46">
    <w:name w:val="z-窗体顶端13"/>
    <w:basedOn w:val="1"/>
    <w:next w:val="1"/>
    <w:qFormat/>
    <w:uiPriority w:val="99"/>
    <w:pPr>
      <w:widowControl/>
      <w:pBdr>
        <w:bottom w:val="single" w:color="auto" w:sz="6" w:space="1"/>
      </w:pBdr>
      <w:jc w:val="center"/>
    </w:pPr>
    <w:rPr>
      <w:rFonts w:ascii="Arial" w:hAnsi="Arial" w:eastAsia="宋体" w:cs="Times New Roman"/>
      <w:vanish/>
      <w:kern w:val="0"/>
      <w:sz w:val="16"/>
      <w:szCs w:val="16"/>
    </w:rPr>
  </w:style>
  <w:style w:type="paragraph" w:customStyle="1" w:styleId="147">
    <w:name w:val="z-窗体底端13"/>
    <w:basedOn w:val="1"/>
    <w:next w:val="1"/>
    <w:qFormat/>
    <w:uiPriority w:val="99"/>
    <w:pPr>
      <w:widowControl/>
      <w:pBdr>
        <w:top w:val="single" w:color="auto" w:sz="6" w:space="1"/>
      </w:pBdr>
      <w:jc w:val="center"/>
    </w:pPr>
    <w:rPr>
      <w:rFonts w:ascii="Arial" w:hAnsi="Arial" w:eastAsia="宋体" w:cs="Times New Roman"/>
      <w:vanish/>
      <w:kern w:val="0"/>
      <w:sz w:val="16"/>
      <w:szCs w:val="16"/>
    </w:rPr>
  </w:style>
  <w:style w:type="paragraph" w:customStyle="1" w:styleId="148">
    <w:name w:val="Char1"/>
    <w:basedOn w:val="1"/>
    <w:qFormat/>
    <w:uiPriority w:val="0"/>
    <w:rPr>
      <w:rFonts w:ascii="Times New Roman" w:hAnsi="Times New Roman" w:eastAsia="宋体" w:cs="Times New Roman"/>
      <w:szCs w:val="20"/>
    </w:rPr>
  </w:style>
  <w:style w:type="paragraph" w:customStyle="1" w:styleId="149">
    <w:name w:val="z-窗体顶端11"/>
    <w:basedOn w:val="1"/>
    <w:next w:val="1"/>
    <w:qFormat/>
    <w:uiPriority w:val="99"/>
    <w:pPr>
      <w:widowControl/>
      <w:pBdr>
        <w:bottom w:val="single" w:color="auto" w:sz="6" w:space="1"/>
      </w:pBdr>
      <w:jc w:val="center"/>
    </w:pPr>
    <w:rPr>
      <w:rFonts w:ascii="Arial" w:hAnsi="Arial" w:eastAsia="宋体" w:cs="Times New Roman"/>
      <w:vanish/>
      <w:kern w:val="0"/>
      <w:sz w:val="16"/>
      <w:szCs w:val="16"/>
    </w:rPr>
  </w:style>
  <w:style w:type="paragraph" w:customStyle="1" w:styleId="150">
    <w:name w:val="z-窗体底端12"/>
    <w:basedOn w:val="1"/>
    <w:next w:val="1"/>
    <w:qFormat/>
    <w:uiPriority w:val="99"/>
    <w:pPr>
      <w:widowControl/>
      <w:pBdr>
        <w:top w:val="single" w:color="auto" w:sz="6" w:space="1"/>
      </w:pBdr>
      <w:jc w:val="center"/>
    </w:pPr>
    <w:rPr>
      <w:rFonts w:ascii="Arial" w:hAnsi="Arial" w:eastAsia="宋体" w:cs="Times New Roman"/>
      <w:vanish/>
      <w:kern w:val="0"/>
      <w:sz w:val="16"/>
      <w:szCs w:val="16"/>
    </w:rPr>
  </w:style>
  <w:style w:type="paragraph" w:customStyle="1" w:styleId="151">
    <w:name w:val="培养计划正文"/>
    <w:basedOn w:val="1"/>
    <w:qFormat/>
    <w:uiPriority w:val="0"/>
    <w:pPr>
      <w:ind w:firstLine="200" w:firstLineChars="200"/>
      <w:jc w:val="left"/>
    </w:pPr>
    <w:rPr>
      <w:rFonts w:ascii="Calibri" w:hAnsi="Calibri" w:eastAsia="宋体" w:cs="Times New Roman"/>
    </w:rPr>
  </w:style>
  <w:style w:type="paragraph" w:customStyle="1" w:styleId="152">
    <w:name w:val="日期1"/>
    <w:basedOn w:val="1"/>
    <w:next w:val="1"/>
    <w:qFormat/>
    <w:uiPriority w:val="99"/>
    <w:rPr>
      <w:rFonts w:ascii="Calibri" w:hAnsi="Calibri" w:eastAsia="宋体" w:cs="Times New Roman"/>
      <w:kern w:val="0"/>
      <w:sz w:val="20"/>
      <w:szCs w:val="20"/>
    </w:rPr>
  </w:style>
  <w:style w:type="paragraph" w:customStyle="1" w:styleId="153">
    <w:name w:val="纯文本12"/>
    <w:basedOn w:val="1"/>
    <w:qFormat/>
    <w:uiPriority w:val="99"/>
    <w:rPr>
      <w:rFonts w:ascii="宋体" w:hAnsi="Courier New" w:eastAsia="宋体" w:cs="Times New Roman"/>
      <w:kern w:val="0"/>
      <w:sz w:val="20"/>
      <w:szCs w:val="21"/>
    </w:rPr>
  </w:style>
  <w:style w:type="character" w:customStyle="1" w:styleId="154">
    <w:name w:val="明显引用 Char1"/>
    <w:basedOn w:val="39"/>
    <w:qFormat/>
    <w:uiPriority w:val="30"/>
    <w:rPr>
      <w:b/>
      <w:bCs/>
      <w:i/>
      <w:iCs/>
      <w:color w:val="4F81BD" w:themeColor="accent1"/>
      <w14:textFill>
        <w14:solidFill>
          <w14:schemeClr w14:val="accent1"/>
        </w14:solidFill>
      </w14:textFill>
    </w:rPr>
  </w:style>
  <w:style w:type="paragraph" w:customStyle="1" w:styleId="155">
    <w:name w:val="Char"/>
    <w:basedOn w:val="1"/>
    <w:qFormat/>
    <w:uiPriority w:val="0"/>
    <w:rPr>
      <w:rFonts w:ascii="Times New Roman" w:hAnsi="Times New Roman" w:eastAsia="宋体" w:cs="Times New Roman"/>
      <w:szCs w:val="20"/>
    </w:rPr>
  </w:style>
  <w:style w:type="paragraph" w:customStyle="1" w:styleId="156">
    <w:name w:val="批注主题12"/>
    <w:basedOn w:val="14"/>
    <w:next w:val="14"/>
    <w:qFormat/>
    <w:uiPriority w:val="99"/>
    <w:pPr>
      <w:adjustRightInd/>
      <w:spacing w:line="240" w:lineRule="auto"/>
      <w:textAlignment w:val="auto"/>
    </w:pPr>
    <w:rPr>
      <w:rFonts w:ascii="Calibri" w:hAnsi="Calibri"/>
      <w:b/>
      <w:bCs/>
      <w:sz w:val="18"/>
      <w:szCs w:val="18"/>
    </w:rPr>
  </w:style>
  <w:style w:type="paragraph" w:customStyle="1" w:styleId="157">
    <w:name w:val="TOC 标题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158">
    <w:name w:val="正文文本缩进12"/>
    <w:basedOn w:val="1"/>
    <w:qFormat/>
    <w:uiPriority w:val="99"/>
    <w:pPr>
      <w:spacing w:after="120"/>
      <w:ind w:left="420" w:leftChars="200"/>
    </w:pPr>
    <w:rPr>
      <w:rFonts w:ascii="Calibri" w:hAnsi="Calibri" w:eastAsia="宋体" w:cs="Times New Roman"/>
      <w:kern w:val="0"/>
      <w:sz w:val="20"/>
      <w:szCs w:val="20"/>
    </w:rPr>
  </w:style>
  <w:style w:type="paragraph" w:styleId="159">
    <w:name w:val="List Paragraph"/>
    <w:basedOn w:val="1"/>
    <w:qFormat/>
    <w:uiPriority w:val="34"/>
    <w:pPr>
      <w:ind w:firstLine="420" w:firstLineChars="200"/>
    </w:pPr>
    <w:rPr>
      <w:rFonts w:ascii="Calibri" w:hAnsi="Calibri" w:eastAsia="宋体" w:cs="Times New Roman"/>
    </w:rPr>
  </w:style>
  <w:style w:type="paragraph" w:customStyle="1" w:styleId="160">
    <w:name w:val="Char3"/>
    <w:basedOn w:val="1"/>
    <w:qFormat/>
    <w:uiPriority w:val="0"/>
    <w:rPr>
      <w:rFonts w:ascii="Times New Roman" w:hAnsi="Times New Roman" w:eastAsia="宋体" w:cs="Times New Roman"/>
      <w:szCs w:val="20"/>
    </w:rPr>
  </w:style>
  <w:style w:type="paragraph" w:customStyle="1" w:styleId="161">
    <w:name w:val="列出段落1"/>
    <w:basedOn w:val="1"/>
    <w:qFormat/>
    <w:uiPriority w:val="0"/>
    <w:pPr>
      <w:ind w:firstLine="420" w:firstLineChars="200"/>
    </w:pPr>
    <w:rPr>
      <w:rFonts w:ascii="Times New Roman" w:hAnsi="Times New Roman" w:eastAsia="宋体" w:cs="Times New Roman"/>
      <w:szCs w:val="21"/>
    </w:rPr>
  </w:style>
  <w:style w:type="paragraph" w:customStyle="1" w:styleId="162">
    <w:name w:val="列出段落13"/>
    <w:basedOn w:val="1"/>
    <w:qFormat/>
    <w:uiPriority w:val="0"/>
    <w:pPr>
      <w:ind w:firstLine="420" w:firstLineChars="200"/>
    </w:pPr>
    <w:rPr>
      <w:rFonts w:ascii="Times New Roman" w:hAnsi="Times New Roman" w:eastAsia="宋体" w:cs="Times New Roman"/>
      <w:szCs w:val="20"/>
    </w:rPr>
  </w:style>
  <w:style w:type="paragraph" w:customStyle="1" w:styleId="163">
    <w:name w:val="正文文本缩进 213"/>
    <w:basedOn w:val="1"/>
    <w:qFormat/>
    <w:uiPriority w:val="99"/>
    <w:pPr>
      <w:spacing w:line="440" w:lineRule="exact"/>
      <w:ind w:firstLine="480" w:firstLineChars="200"/>
      <w:jc w:val="left"/>
    </w:pPr>
    <w:rPr>
      <w:rFonts w:ascii="Calibri" w:hAnsi="Calibri" w:eastAsia="宋体" w:cs="Times New Roman"/>
      <w:kern w:val="0"/>
      <w:sz w:val="24"/>
      <w:szCs w:val="24"/>
    </w:rPr>
  </w:style>
  <w:style w:type="paragraph" w:customStyle="1" w:styleId="164">
    <w:name w:val="纯文本13"/>
    <w:basedOn w:val="1"/>
    <w:qFormat/>
    <w:uiPriority w:val="99"/>
    <w:rPr>
      <w:rFonts w:ascii="宋体" w:hAnsi="Courier New" w:eastAsia="宋体" w:cs="Times New Roman"/>
      <w:kern w:val="0"/>
      <w:sz w:val="20"/>
      <w:szCs w:val="21"/>
    </w:rPr>
  </w:style>
  <w:style w:type="paragraph" w:customStyle="1" w:styleId="165">
    <w:name w:val="正文文本缩进 313"/>
    <w:basedOn w:val="1"/>
    <w:qFormat/>
    <w:uiPriority w:val="99"/>
    <w:pPr>
      <w:spacing w:after="120"/>
      <w:ind w:left="420" w:leftChars="200"/>
    </w:pPr>
    <w:rPr>
      <w:rFonts w:ascii="Calibri" w:hAnsi="Calibri" w:eastAsia="宋体" w:cs="Times New Roman"/>
      <w:kern w:val="0"/>
      <w:sz w:val="16"/>
      <w:szCs w:val="16"/>
    </w:rPr>
  </w:style>
  <w:style w:type="paragraph" w:customStyle="1" w:styleId="166">
    <w:name w:val="HTML 预设格式13"/>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customStyle="1" w:styleId="167">
    <w:name w:val="Char2"/>
    <w:basedOn w:val="1"/>
    <w:qFormat/>
    <w:uiPriority w:val="0"/>
    <w:rPr>
      <w:rFonts w:ascii="Times New Roman" w:hAnsi="Times New Roman" w:eastAsia="宋体" w:cs="Times New Roman"/>
      <w:szCs w:val="20"/>
    </w:rPr>
  </w:style>
  <w:style w:type="paragraph" w:customStyle="1" w:styleId="168">
    <w:name w:val="列出段落12"/>
    <w:basedOn w:val="1"/>
    <w:qFormat/>
    <w:uiPriority w:val="99"/>
    <w:pPr>
      <w:ind w:firstLine="420" w:firstLineChars="200"/>
    </w:pPr>
    <w:rPr>
      <w:rFonts w:ascii="Times New Roman" w:hAnsi="Times New Roman" w:eastAsia="宋体" w:cs="Times New Roman"/>
      <w:szCs w:val="20"/>
    </w:rPr>
  </w:style>
  <w:style w:type="paragraph" w:customStyle="1" w:styleId="169">
    <w:name w:val="正文文本缩进 312"/>
    <w:basedOn w:val="1"/>
    <w:qFormat/>
    <w:uiPriority w:val="99"/>
    <w:pPr>
      <w:spacing w:after="120"/>
      <w:ind w:left="420" w:leftChars="200"/>
    </w:pPr>
    <w:rPr>
      <w:rFonts w:ascii="Calibri" w:hAnsi="Calibri" w:eastAsia="宋体" w:cs="Times New Roman"/>
      <w:kern w:val="0"/>
      <w:sz w:val="16"/>
      <w:szCs w:val="16"/>
    </w:rPr>
  </w:style>
  <w:style w:type="paragraph" w:customStyle="1" w:styleId="170">
    <w:name w:val="列出段落11"/>
    <w:basedOn w:val="1"/>
    <w:qFormat/>
    <w:uiPriority w:val="0"/>
    <w:pPr>
      <w:ind w:firstLine="420" w:firstLineChars="200"/>
    </w:pPr>
    <w:rPr>
      <w:rFonts w:ascii="Times New Roman" w:hAnsi="Times New Roman" w:eastAsia="宋体" w:cs="Times New Roman"/>
      <w:szCs w:val="20"/>
    </w:rPr>
  </w:style>
  <w:style w:type="paragraph" w:customStyle="1" w:styleId="171">
    <w:name w:val="z-窗体底端11"/>
    <w:basedOn w:val="1"/>
    <w:next w:val="1"/>
    <w:qFormat/>
    <w:uiPriority w:val="99"/>
    <w:pPr>
      <w:widowControl/>
      <w:pBdr>
        <w:top w:val="single" w:color="auto" w:sz="6" w:space="1"/>
      </w:pBdr>
      <w:jc w:val="center"/>
    </w:pPr>
    <w:rPr>
      <w:rFonts w:ascii="Arial" w:hAnsi="Arial" w:eastAsia="宋体" w:cs="Times New Roman"/>
      <w:vanish/>
      <w:kern w:val="0"/>
      <w:sz w:val="16"/>
      <w:szCs w:val="16"/>
    </w:rPr>
  </w:style>
  <w:style w:type="table" w:customStyle="1" w:styleId="172">
    <w:name w:val="网格型10"/>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
    <w:name w:val="网格型12"/>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
    <w:name w:val="网格型13"/>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
    <w:name w:val="网格型14"/>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
    <w:name w:val="网格型15"/>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7">
    <w:name w:val="TOC 标题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character" w:customStyle="1" w:styleId="178">
    <w:name w:val="访问过的超链接1"/>
    <w:qFormat/>
    <w:uiPriority w:val="99"/>
    <w:rPr>
      <w:color w:val="800080"/>
      <w:u w:val="single"/>
    </w:rPr>
  </w:style>
  <w:style w:type="paragraph" w:styleId="179">
    <w:name w:val="No Spacing"/>
    <w:qFormat/>
    <w:uiPriority w:val="1"/>
    <w:pPr>
      <w:widowControl w:val="0"/>
      <w:jc w:val="both"/>
    </w:pPr>
    <w:rPr>
      <w:rFonts w:ascii="Times New Roman" w:hAnsi="Times New Roman" w:eastAsia="宋体" w:cs="Times New Roman"/>
      <w:kern w:val="2"/>
      <w:sz w:val="21"/>
      <w:lang w:val="en-US" w:eastAsia="zh-CN" w:bidi="ar-SA"/>
    </w:rPr>
  </w:style>
  <w:style w:type="table" w:customStyle="1" w:styleId="180">
    <w:name w:val="网格型16"/>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
    <w:name w:val="网格型17"/>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2">
    <w:name w:val="标题 1 Char"/>
    <w:qFormat/>
    <w:uiPriority w:val="99"/>
    <w:rPr>
      <w:rFonts w:eastAsia="隶书"/>
      <w:bCs/>
      <w:kern w:val="44"/>
      <w:sz w:val="44"/>
      <w:szCs w:val="44"/>
    </w:rPr>
  </w:style>
  <w:style w:type="character" w:customStyle="1" w:styleId="183">
    <w:name w:val="标题 7 Char"/>
    <w:qFormat/>
    <w:uiPriority w:val="99"/>
    <w:rPr>
      <w:rFonts w:ascii="Calibri" w:hAnsi="Calibri" w:eastAsia="宋体"/>
      <w:b/>
      <w:bCs/>
      <w:sz w:val="24"/>
      <w:szCs w:val="24"/>
      <w:lang w:bidi="ar-SA"/>
    </w:rPr>
  </w:style>
  <w:style w:type="character" w:customStyle="1" w:styleId="184">
    <w:name w:val="标题 2 Char"/>
    <w:qFormat/>
    <w:uiPriority w:val="0"/>
    <w:rPr>
      <w:rFonts w:ascii="Arial" w:hAnsi="Arial" w:eastAsia="黑体"/>
      <w:b/>
      <w:bCs/>
      <w:kern w:val="2"/>
      <w:sz w:val="32"/>
      <w:szCs w:val="32"/>
      <w:lang w:val="en-US" w:eastAsia="zh-CN" w:bidi="ar-SA"/>
    </w:rPr>
  </w:style>
  <w:style w:type="character" w:customStyle="1" w:styleId="185">
    <w:name w:val="页眉 Char"/>
    <w:qFormat/>
    <w:uiPriority w:val="99"/>
    <w:rPr>
      <w:rFonts w:eastAsia="宋体"/>
      <w:kern w:val="2"/>
      <w:sz w:val="18"/>
      <w:szCs w:val="18"/>
      <w:lang w:val="en-US" w:eastAsia="zh-CN" w:bidi="ar-SA"/>
    </w:rPr>
  </w:style>
  <w:style w:type="character" w:customStyle="1" w:styleId="186">
    <w:name w:val="页脚 Char"/>
    <w:qFormat/>
    <w:uiPriority w:val="99"/>
    <w:rPr>
      <w:rFonts w:eastAsia="宋体"/>
      <w:kern w:val="2"/>
      <w:sz w:val="18"/>
      <w:szCs w:val="18"/>
      <w:lang w:val="en-US" w:eastAsia="zh-CN" w:bidi="ar-SA"/>
    </w:rPr>
  </w:style>
  <w:style w:type="character" w:customStyle="1" w:styleId="187">
    <w:name w:val="批注文字 字符1"/>
    <w:basedOn w:val="39"/>
    <w:semiHidden/>
    <w:qFormat/>
    <w:uiPriority w:val="99"/>
  </w:style>
  <w:style w:type="character" w:customStyle="1" w:styleId="188">
    <w:name w:val="批注主题 字符1"/>
    <w:basedOn w:val="187"/>
    <w:semiHidden/>
    <w:qFormat/>
    <w:uiPriority w:val="99"/>
    <w:rPr>
      <w:b/>
      <w:bCs/>
    </w:rPr>
  </w:style>
  <w:style w:type="character" w:customStyle="1" w:styleId="189">
    <w:name w:val="文档结构图 字符1"/>
    <w:basedOn w:val="39"/>
    <w:semiHidden/>
    <w:qFormat/>
    <w:uiPriority w:val="99"/>
    <w:rPr>
      <w:rFonts w:ascii="Microsoft YaHei UI" w:eastAsia="Microsoft YaHei UI"/>
      <w:sz w:val="18"/>
      <w:szCs w:val="18"/>
    </w:rPr>
  </w:style>
  <w:style w:type="character" w:customStyle="1" w:styleId="190">
    <w:name w:val="正文文本缩进 3 字符1"/>
    <w:basedOn w:val="39"/>
    <w:semiHidden/>
    <w:qFormat/>
    <w:uiPriority w:val="99"/>
    <w:rPr>
      <w:sz w:val="16"/>
      <w:szCs w:val="16"/>
    </w:rPr>
  </w:style>
  <w:style w:type="character" w:customStyle="1" w:styleId="191">
    <w:name w:val="正文文本 字符1"/>
    <w:basedOn w:val="39"/>
    <w:semiHidden/>
    <w:qFormat/>
    <w:uiPriority w:val="99"/>
  </w:style>
  <w:style w:type="character" w:customStyle="1" w:styleId="192">
    <w:name w:val="纯文本 字符1"/>
    <w:basedOn w:val="39"/>
    <w:semiHidden/>
    <w:qFormat/>
    <w:uiPriority w:val="99"/>
    <w:rPr>
      <w:rFonts w:hAnsi="Courier New" w:cs="Courier New" w:asciiTheme="minorEastAsia"/>
    </w:rPr>
  </w:style>
  <w:style w:type="character" w:customStyle="1" w:styleId="193">
    <w:name w:val="正文文本缩进 字符1"/>
    <w:basedOn w:val="39"/>
    <w:semiHidden/>
    <w:qFormat/>
    <w:uiPriority w:val="99"/>
  </w:style>
  <w:style w:type="character" w:customStyle="1" w:styleId="194">
    <w:name w:val="正文文本缩进 2 字符1"/>
    <w:basedOn w:val="39"/>
    <w:semiHidden/>
    <w:qFormat/>
    <w:uiPriority w:val="99"/>
  </w:style>
  <w:style w:type="character" w:customStyle="1" w:styleId="195">
    <w:name w:val="日期 字符1"/>
    <w:basedOn w:val="39"/>
    <w:semiHidden/>
    <w:qFormat/>
    <w:uiPriority w:val="99"/>
  </w:style>
  <w:style w:type="character" w:customStyle="1" w:styleId="196">
    <w:name w:val="副标题 字符1"/>
    <w:basedOn w:val="39"/>
    <w:qFormat/>
    <w:uiPriority w:val="99"/>
    <w:rPr>
      <w:b/>
      <w:bCs/>
      <w:kern w:val="28"/>
      <w:sz w:val="32"/>
      <w:szCs w:val="32"/>
    </w:rPr>
  </w:style>
  <w:style w:type="character" w:customStyle="1" w:styleId="197">
    <w:name w:val="标题 字符1"/>
    <w:basedOn w:val="39"/>
    <w:qFormat/>
    <w:uiPriority w:val="99"/>
    <w:rPr>
      <w:rFonts w:asciiTheme="majorHAnsi" w:hAnsiTheme="majorHAnsi" w:eastAsiaTheme="majorEastAsia" w:cstheme="majorBidi"/>
      <w:b/>
      <w:bCs/>
      <w:sz w:val="32"/>
      <w:szCs w:val="32"/>
    </w:rPr>
  </w:style>
  <w:style w:type="character" w:customStyle="1" w:styleId="198">
    <w:name w:val="HTML 预设格式 字符1"/>
    <w:basedOn w:val="39"/>
    <w:semiHidden/>
    <w:qFormat/>
    <w:uiPriority w:val="99"/>
    <w:rPr>
      <w:rFonts w:ascii="Courier New" w:hAnsi="Courier New" w:cs="Courier New"/>
      <w:sz w:val="20"/>
      <w:szCs w:val="20"/>
    </w:rPr>
  </w:style>
  <w:style w:type="character" w:customStyle="1" w:styleId="199">
    <w:name w:val="明显引用 字符1"/>
    <w:basedOn w:val="39"/>
    <w:qFormat/>
    <w:uiPriority w:val="30"/>
    <w:rPr>
      <w:i/>
      <w:iCs/>
      <w:color w:val="4F81BD" w:themeColor="accent1"/>
      <w14:textFill>
        <w14:solidFill>
          <w14:schemeClr w14:val="accent1"/>
        </w14:solidFill>
      </w14:textFill>
    </w:rPr>
  </w:style>
  <w:style w:type="table" w:customStyle="1" w:styleId="200">
    <w:name w:val="网格型18"/>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
    <w:name w:val="网格型19"/>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
    <w:name w:val="网格型131"/>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
    <w:name w:val="网格型110"/>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
    <w:name w:val="网格型20"/>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
    <w:name w:val="网格型21"/>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
    <w:name w:val="网格型31"/>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
    <w:name w:val="网格型41"/>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网格型111"/>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
    <w:name w:val="网格型51"/>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
    <w:name w:val="网格型61"/>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
    <w:name w:val="网格型71"/>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
    <w:name w:val="网格型81"/>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
    <w:name w:val="网格型91"/>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
    <w:name w:val="网格型101"/>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
    <w:name w:val="网格型121"/>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
    <w:name w:val="网格型132"/>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
    <w:name w:val="网格型141"/>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
    <w:name w:val="网格型151"/>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
    <w:name w:val="网格型161"/>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
    <w:name w:val="网格型171"/>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
    <w:name w:val="网格型181"/>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
    <w:name w:val="网格型191"/>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24">
    <w:name w:val="fontstyle01"/>
    <w:qFormat/>
    <w:uiPriority w:val="0"/>
    <w:rPr>
      <w:rFonts w:hint="eastAsia" w:ascii="宋体" w:hAnsi="宋体" w:eastAsia="宋体"/>
      <w:color w:val="000000"/>
      <w:sz w:val="24"/>
      <w:szCs w:val="24"/>
    </w:rPr>
  </w:style>
  <w:style w:type="paragraph" w:customStyle="1" w:styleId="22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26">
    <w:name w:val="批注框文本 Char1"/>
    <w:qFormat/>
    <w:uiPriority w:val="99"/>
    <w:rPr>
      <w:rFonts w:ascii="Times New Roman" w:hAnsi="Times New Roman" w:eastAsia="宋体" w:cs="Times New Roman"/>
      <w:kern w:val="2"/>
      <w:sz w:val="18"/>
      <w:szCs w:val="18"/>
    </w:rPr>
  </w:style>
  <w:style w:type="character" w:customStyle="1" w:styleId="227">
    <w:name w:val="页脚 字符1"/>
    <w:qFormat/>
    <w:uiPriority w:val="99"/>
    <w:rPr>
      <w:rFonts w:eastAsia="宋体"/>
      <w:kern w:val="2"/>
      <w:sz w:val="18"/>
      <w:szCs w:val="18"/>
      <w:lang w:val="en-US" w:eastAsia="zh-CN" w:bidi="ar-SA"/>
    </w:rPr>
  </w:style>
  <w:style w:type="character" w:customStyle="1" w:styleId="228">
    <w:name w:val="标题 5 Char1"/>
    <w:qFormat/>
    <w:uiPriority w:val="99"/>
    <w:rPr>
      <w:rFonts w:ascii="Calibri" w:hAnsi="Calibri" w:eastAsia="宋体" w:cs="Times New Roman"/>
      <w:b/>
      <w:bCs/>
      <w:sz w:val="28"/>
      <w:szCs w:val="28"/>
      <w:lang w:val="zh-CN"/>
    </w:rPr>
  </w:style>
  <w:style w:type="character" w:customStyle="1" w:styleId="229">
    <w:name w:val="标题 4 Char1"/>
    <w:qFormat/>
    <w:uiPriority w:val="99"/>
    <w:rPr>
      <w:rFonts w:ascii="Arial" w:hAnsi="Arial" w:eastAsia="黑体" w:cs="Times New Roman"/>
      <w:b/>
      <w:bCs/>
      <w:kern w:val="2"/>
      <w:sz w:val="28"/>
      <w:szCs w:val="28"/>
    </w:rPr>
  </w:style>
  <w:style w:type="character" w:customStyle="1" w:styleId="230">
    <w:name w:val="标题 7 Char1"/>
    <w:qFormat/>
    <w:uiPriority w:val="99"/>
    <w:rPr>
      <w:rFonts w:ascii="Calibri" w:hAnsi="Calibri" w:eastAsia="宋体" w:cs="Times New Roman"/>
      <w:b/>
      <w:bCs/>
      <w:sz w:val="24"/>
      <w:szCs w:val="24"/>
      <w:lang w:val="zh-CN"/>
    </w:rPr>
  </w:style>
  <w:style w:type="character" w:customStyle="1" w:styleId="231">
    <w:name w:val="未处理的提及1"/>
    <w:unhideWhenUsed/>
    <w:qFormat/>
    <w:uiPriority w:val="99"/>
    <w:rPr>
      <w:color w:val="808080"/>
      <w:shd w:val="clear" w:color="auto" w:fill="E6E6E6"/>
    </w:rPr>
  </w:style>
  <w:style w:type="character" w:customStyle="1" w:styleId="232">
    <w:name w:val="访问过的超链接11"/>
    <w:qFormat/>
    <w:uiPriority w:val="99"/>
    <w:rPr>
      <w:color w:val="800080"/>
      <w:u w:val="single"/>
    </w:rPr>
  </w:style>
  <w:style w:type="character" w:customStyle="1" w:styleId="233">
    <w:name w:val="标题 2 Char1"/>
    <w:qFormat/>
    <w:uiPriority w:val="0"/>
    <w:rPr>
      <w:rFonts w:ascii="Arial" w:hAnsi="Arial" w:eastAsia="黑体" w:cs="Times New Roman"/>
      <w:b/>
      <w:bCs/>
      <w:kern w:val="2"/>
      <w:sz w:val="32"/>
      <w:szCs w:val="32"/>
    </w:rPr>
  </w:style>
  <w:style w:type="character" w:customStyle="1" w:styleId="234">
    <w:name w:val="标题 3 Char1"/>
    <w:qFormat/>
    <w:uiPriority w:val="99"/>
    <w:rPr>
      <w:rFonts w:ascii="Times New Roman" w:hAnsi="Times New Roman" w:eastAsia="宋体" w:cs="Times New Roman"/>
      <w:b/>
      <w:bCs/>
      <w:kern w:val="2"/>
      <w:sz w:val="32"/>
      <w:szCs w:val="32"/>
    </w:rPr>
  </w:style>
  <w:style w:type="character" w:customStyle="1" w:styleId="235">
    <w:name w:val="标题 1 Char1"/>
    <w:qFormat/>
    <w:uiPriority w:val="99"/>
    <w:rPr>
      <w:rFonts w:ascii="Times New Roman" w:hAnsi="Times New Roman" w:eastAsia="宋体" w:cs="Times New Roman"/>
      <w:b/>
      <w:bCs/>
      <w:kern w:val="44"/>
      <w:sz w:val="44"/>
      <w:szCs w:val="44"/>
    </w:rPr>
  </w:style>
  <w:style w:type="character" w:customStyle="1" w:styleId="236">
    <w:name w:val="标题 6 Char1"/>
    <w:qFormat/>
    <w:uiPriority w:val="99"/>
    <w:rPr>
      <w:rFonts w:ascii="Times New Roman" w:hAnsi="Times New Roman" w:eastAsia="MS Mincho" w:cs="Times New Roman"/>
      <w:b/>
      <w:bCs/>
      <w:kern w:val="2"/>
      <w:sz w:val="21"/>
      <w:szCs w:val="24"/>
      <w:lang w:val="zh-CN"/>
    </w:rPr>
  </w:style>
  <w:style w:type="character" w:customStyle="1" w:styleId="237">
    <w:name w:val="页眉 字符1"/>
    <w:qFormat/>
    <w:uiPriority w:val="99"/>
    <w:rPr>
      <w:rFonts w:eastAsia="宋体"/>
      <w:kern w:val="2"/>
      <w:sz w:val="18"/>
      <w:szCs w:val="18"/>
      <w:lang w:val="en-US" w:eastAsia="zh-CN" w:bidi="ar-SA"/>
    </w:rPr>
  </w:style>
  <w:style w:type="character" w:customStyle="1" w:styleId="238">
    <w:name w:val="标题 8 Char1"/>
    <w:qFormat/>
    <w:uiPriority w:val="99"/>
    <w:rPr>
      <w:rFonts w:ascii="Cambria" w:hAnsi="Cambria" w:eastAsia="宋体" w:cs="Times New Roman"/>
      <w:sz w:val="24"/>
      <w:szCs w:val="24"/>
      <w:lang w:val="zh-CN"/>
    </w:rPr>
  </w:style>
  <w:style w:type="paragraph" w:customStyle="1" w:styleId="239">
    <w:name w:val="修订2"/>
    <w:semiHidden/>
    <w:qFormat/>
    <w:uiPriority w:val="99"/>
    <w:rPr>
      <w:rFonts w:ascii="Times New Roman" w:hAnsi="Times New Roman" w:eastAsia="宋体" w:cs="Times New Roman"/>
      <w:kern w:val="2"/>
      <w:sz w:val="21"/>
      <w:lang w:val="en-US" w:eastAsia="zh-CN" w:bidi="ar-SA"/>
    </w:rPr>
  </w:style>
  <w:style w:type="paragraph" w:customStyle="1" w:styleId="240">
    <w:name w:val="msolistparagraph"/>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41">
    <w:name w:val="List Paragraph1"/>
    <w:basedOn w:val="1"/>
    <w:qFormat/>
    <w:uiPriority w:val="0"/>
    <w:pPr>
      <w:ind w:firstLine="420" w:firstLineChars="200"/>
    </w:pPr>
    <w:rPr>
      <w:rFonts w:ascii="Times New Roman" w:hAnsi="Times New Roman" w:eastAsia="宋体" w:cs="Times New Roman"/>
      <w:szCs w:val="21"/>
    </w:rPr>
  </w:style>
  <w:style w:type="paragraph" w:customStyle="1" w:styleId="242">
    <w:name w:val="TOC 标题2"/>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43">
    <w:name w:val="样式 标题 2 + 楷体_GB2312 四号 段前: 6 磅 段后: 6 磅 行距: 多倍行距 1.18 字行"/>
    <w:basedOn w:val="3"/>
    <w:qFormat/>
    <w:uiPriority w:val="0"/>
    <w:pPr>
      <w:adjustRightInd w:val="0"/>
      <w:snapToGrid w:val="0"/>
      <w:spacing w:before="340" w:after="340" w:line="286" w:lineRule="auto"/>
    </w:pPr>
    <w:rPr>
      <w:rFonts w:ascii="黑体" w:hAnsi="黑体" w:cs="宋体"/>
      <w:b w:val="0"/>
      <w:sz w:val="28"/>
      <w:szCs w:val="20"/>
    </w:rPr>
  </w:style>
  <w:style w:type="paragraph" w:customStyle="1" w:styleId="244">
    <w:name w:val="样式 标题 2 + 楷体_GB2312 四号"/>
    <w:basedOn w:val="3"/>
    <w:qFormat/>
    <w:uiPriority w:val="0"/>
    <w:pPr>
      <w:spacing w:beforeLines="100" w:afterLines="100" w:line="283" w:lineRule="auto"/>
    </w:pPr>
    <w:rPr>
      <w:rFonts w:ascii="楷体_GB2312" w:hAnsi="楷体_GB2312"/>
      <w:b w:val="0"/>
      <w:sz w:val="28"/>
    </w:rPr>
  </w:style>
  <w:style w:type="paragraph" w:customStyle="1" w:styleId="245">
    <w:name w:val="TOC Heading1"/>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table" w:customStyle="1" w:styleId="246">
    <w:name w:val="Table Normal"/>
    <w:basedOn w:val="37"/>
    <w:unhideWhenUsed/>
    <w:qFormat/>
    <w:uiPriority w:val="2"/>
    <w:tblPr>
      <w:tblCellMar>
        <w:left w:w="0" w:type="dxa"/>
        <w:right w:w="0" w:type="dxa"/>
      </w:tblCellMar>
    </w:tblPr>
  </w:style>
  <w:style w:type="paragraph" w:customStyle="1" w:styleId="247">
    <w:name w:val="Table Paragraph"/>
    <w:basedOn w:val="1"/>
    <w:qFormat/>
    <w:uiPriority w:val="1"/>
    <w:pPr>
      <w:autoSpaceDE w:val="0"/>
      <w:autoSpaceDN w:val="0"/>
      <w:jc w:val="center"/>
    </w:pPr>
    <w:rPr>
      <w:rFonts w:ascii="宋体" w:hAnsi="宋体" w:eastAsia="宋体" w:cs="宋体"/>
      <w:kern w:val="0"/>
      <w:sz w:val="22"/>
      <w:lang w:eastAsia="en-US" w:bidi="en-US"/>
    </w:rPr>
  </w:style>
  <w:style w:type="paragraph" w:customStyle="1" w:styleId="248">
    <w:name w:val="Revision"/>
    <w:semiHidden/>
    <w:uiPriority w:val="99"/>
    <w:rPr>
      <w:rFonts w:ascii="Times New Roman" w:hAnsi="Times New Roman" w:eastAsia="宋体" w:cs="Times New Roman"/>
      <w:kern w:val="2"/>
      <w:sz w:val="21"/>
      <w:lang w:val="en-US" w:eastAsia="zh-CN" w:bidi="ar-SA"/>
    </w:rPr>
  </w:style>
  <w:style w:type="paragraph" w:customStyle="1" w:styleId="249">
    <w:name w:val="TOC Heading2"/>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50">
    <w:name w:val="浅色列表1"/>
    <w:next w:val="25"/>
    <w:uiPriority w:val="0"/>
    <w:pPr>
      <w:widowControl w:val="0"/>
      <w:ind w:firstLine="200" w:firstLineChars="200"/>
      <w:jc w:val="both"/>
    </w:pPr>
    <w:rPr>
      <w:rFonts w:ascii="等线" w:hAnsi="Times New Roman" w:eastAsia="等线" w:cs="Arial"/>
      <w:kern w:val="2"/>
      <w:sz w:val="21"/>
      <w:szCs w:val="22"/>
      <w:lang w:val="en-US" w:eastAsia="zh-CN" w:bidi="ar-SA"/>
    </w:rPr>
  </w:style>
  <w:style w:type="paragraph" w:customStyle="1" w:styleId="251">
    <w:name w:val="_Style 2"/>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6C249-77A9-411B-97AF-B5C9536BDAD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95</Pages>
  <Words>79579</Words>
  <Characters>88594</Characters>
  <Lines>690</Lines>
  <Paragraphs>194</Paragraphs>
  <TotalTime>8</TotalTime>
  <ScaleCrop>false</ScaleCrop>
  <LinksUpToDate>false</LinksUpToDate>
  <CharactersWithSpaces>89672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2022-08-03T05:57:00Z</dcterms:created>
  <dc:creator>演示人</dc:creator>
  <cp:lastModifiedBy>番茄酱</cp:lastModifiedBy>
  <cp:lastPrinted>2020-07-21T10:26:00Z</cp:lastPrinted>
  <dcterms:modified xsi:type="dcterms:W3CDTF">2022-08-09T15:16:34Z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E81E6B79F9DB44DE9D81F2647877B684</vt:lpwstr>
  </property>
</Properties>
</file>